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3D" w:rsidRPr="00EE443D" w:rsidRDefault="00EE443D" w:rsidP="00EE443D">
      <w:pPr>
        <w:snapToGrid w:val="0"/>
        <w:ind w:rightChars="-139" w:right="-334"/>
        <w:rPr>
          <w:rFonts w:ascii="標楷體" w:eastAsia="標楷體" w:hAnsi="標楷體"/>
          <w:sz w:val="28"/>
          <w:szCs w:val="28"/>
        </w:rPr>
      </w:pPr>
      <w:r w:rsidRPr="00EE443D">
        <w:rPr>
          <w:rFonts w:ascii="標楷體" w:eastAsia="標楷體" w:hAnsi="標楷體" w:hint="eastAsia"/>
          <w:sz w:val="28"/>
          <w:szCs w:val="28"/>
        </w:rPr>
        <w:t>附件3</w:t>
      </w:r>
    </w:p>
    <w:p w:rsidR="006162FA" w:rsidRPr="00AC2BF8" w:rsidRDefault="0045277C" w:rsidP="00AC2BF8">
      <w:pPr>
        <w:snapToGrid w:val="0"/>
        <w:ind w:rightChars="-139" w:right="-334"/>
        <w:jc w:val="center"/>
        <w:rPr>
          <w:rFonts w:ascii="標楷體" w:eastAsia="標楷體" w:hAnsi="標楷體"/>
          <w:b/>
          <w:sz w:val="32"/>
          <w:szCs w:val="32"/>
        </w:rPr>
      </w:pPr>
      <w:r w:rsidRPr="00AC2BF8">
        <w:rPr>
          <w:rFonts w:ascii="標楷體" w:eastAsia="標楷體" w:hAnsi="標楷體" w:hint="eastAsia"/>
          <w:b/>
          <w:sz w:val="32"/>
          <w:szCs w:val="32"/>
        </w:rPr>
        <w:t>國立屏東科技大學</w:t>
      </w:r>
      <w:proofErr w:type="gramStart"/>
      <w:r w:rsidRPr="00AC2BF8">
        <w:rPr>
          <w:rFonts w:ascii="標楷體" w:eastAsia="標楷體" w:hAnsi="標楷體" w:hint="eastAsia"/>
          <w:b/>
          <w:sz w:val="32"/>
          <w:szCs w:val="32"/>
        </w:rPr>
        <w:t>10</w:t>
      </w:r>
      <w:r w:rsidR="00B90F7C">
        <w:rPr>
          <w:rFonts w:ascii="標楷體" w:eastAsia="標楷體" w:hAnsi="標楷體" w:hint="eastAsia"/>
          <w:b/>
          <w:sz w:val="32"/>
          <w:szCs w:val="32"/>
        </w:rPr>
        <w:t>9</w:t>
      </w:r>
      <w:proofErr w:type="gramEnd"/>
      <w:r w:rsidRPr="00AC2BF8">
        <w:rPr>
          <w:rFonts w:ascii="標楷體" w:eastAsia="標楷體" w:hAnsi="標楷體" w:hint="eastAsia"/>
          <w:b/>
          <w:sz w:val="32"/>
          <w:szCs w:val="32"/>
        </w:rPr>
        <w:t>年度校務基金稽核情形表</w:t>
      </w:r>
    </w:p>
    <w:p w:rsidR="004819CC" w:rsidRDefault="00AC2BF8" w:rsidP="00EE6FF9">
      <w:pPr>
        <w:snapToGrid w:val="0"/>
        <w:spacing w:beforeLines="50" w:before="180"/>
        <w:ind w:leftChars="-176" w:left="1445" w:rightChars="-316" w:right="-758" w:hangingChars="718" w:hanging="1867"/>
        <w:rPr>
          <w:rFonts w:ascii="標楷體" w:eastAsia="標楷體" w:hAnsi="標楷體"/>
          <w:spacing w:val="-10"/>
          <w:sz w:val="28"/>
          <w:szCs w:val="28"/>
        </w:rPr>
      </w:pPr>
      <w:r w:rsidRPr="00AC2BF8">
        <w:rPr>
          <w:rFonts w:ascii="標楷體" w:eastAsia="標楷體" w:hAnsi="標楷體"/>
          <w:spacing w:val="-10"/>
          <w:sz w:val="28"/>
          <w:szCs w:val="28"/>
        </w:rPr>
        <w:t>稽核事項</w:t>
      </w:r>
      <w:r w:rsidR="00C92A27">
        <w:rPr>
          <w:rFonts w:ascii="標楷體" w:eastAsia="標楷體" w:hAnsi="標楷體" w:hint="eastAsia"/>
          <w:spacing w:val="-10"/>
          <w:sz w:val="28"/>
          <w:szCs w:val="28"/>
        </w:rPr>
        <w:t>《</w:t>
      </w:r>
      <w:r w:rsidR="00EE6FF9">
        <w:rPr>
          <w:rFonts w:ascii="標楷體" w:eastAsia="標楷體" w:hAnsi="標楷體" w:hint="eastAsia"/>
          <w:spacing w:val="-10"/>
          <w:sz w:val="28"/>
          <w:szCs w:val="28"/>
        </w:rPr>
        <w:t>14</w:t>
      </w:r>
      <w:r w:rsidR="00C92A27">
        <w:rPr>
          <w:rFonts w:ascii="標楷體" w:eastAsia="標楷體" w:hAnsi="標楷體" w:hint="eastAsia"/>
          <w:spacing w:val="-10"/>
          <w:sz w:val="28"/>
          <w:szCs w:val="28"/>
        </w:rPr>
        <w:t>》</w:t>
      </w:r>
      <w:r w:rsidR="00EE6FF9" w:rsidRPr="00EE6FF9">
        <w:rPr>
          <w:rFonts w:asciiTheme="minorEastAsia" w:hAnsiTheme="minorEastAsia"/>
          <w:sz w:val="28"/>
          <w:szCs w:val="28"/>
        </w:rPr>
        <w:t>104-109</w:t>
      </w:r>
      <w:r w:rsidR="00EE6FF9" w:rsidRPr="00EE6FF9">
        <w:rPr>
          <w:rFonts w:asciiTheme="minorEastAsia" w:hAnsiTheme="minorEastAsia" w:hint="eastAsia"/>
          <w:sz w:val="28"/>
          <w:szCs w:val="28"/>
        </w:rPr>
        <w:t>學年度校務發展計畫</w:t>
      </w:r>
      <w:proofErr w:type="gramStart"/>
      <w:r w:rsidR="00EE6FF9" w:rsidRPr="00EE6FF9">
        <w:rPr>
          <w:rFonts w:asciiTheme="minorEastAsia" w:hAnsiTheme="minorEastAsia" w:hint="eastAsia"/>
          <w:sz w:val="28"/>
          <w:szCs w:val="28"/>
        </w:rPr>
        <w:t>—</w:t>
      </w:r>
      <w:proofErr w:type="gramEnd"/>
      <w:r w:rsidR="00EE6FF9" w:rsidRPr="00EE6FF9">
        <w:rPr>
          <w:rFonts w:asciiTheme="minorEastAsia" w:hAnsiTheme="minorEastAsia" w:hint="eastAsia"/>
          <w:sz w:val="28"/>
          <w:szCs w:val="28"/>
        </w:rPr>
        <w:t>培育全人化、專業化、國際化之動物醫學及其相關科學專業人才、深化及拓展動物醫學、保育及疫苗相關科學研究與產業鏈結和網絡與創造一個教學、研究及服務互動良好的永續經營環境，吸引、留住及培養卓越的學生、教師和職員</w:t>
      </w:r>
    </w:p>
    <w:p w:rsidR="00AC2BF8" w:rsidRPr="00AC2BF8" w:rsidRDefault="00AC2BF8" w:rsidP="004819CC">
      <w:pPr>
        <w:ind w:leftChars="-177" w:left="-425" w:rightChars="-316" w:right="-758"/>
        <w:rPr>
          <w:spacing w:val="-10"/>
          <w:sz w:val="28"/>
          <w:szCs w:val="28"/>
        </w:rPr>
      </w:pPr>
      <w:r w:rsidRPr="00AC2BF8">
        <w:rPr>
          <w:rFonts w:ascii="標楷體" w:eastAsia="標楷體" w:hAnsi="標楷體" w:hint="eastAsia"/>
          <w:spacing w:val="-10"/>
          <w:sz w:val="28"/>
          <w:szCs w:val="28"/>
        </w:rPr>
        <w:t>受稽核單位：</w:t>
      </w:r>
      <w:r w:rsidR="00EE6FF9">
        <w:rPr>
          <w:rFonts w:ascii="標楷體" w:eastAsia="標楷體" w:hAnsi="標楷體" w:hint="eastAsia"/>
          <w:sz w:val="28"/>
          <w:szCs w:val="28"/>
        </w:rPr>
        <w:t>獸醫學院</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587"/>
        <w:gridCol w:w="2587"/>
        <w:gridCol w:w="2730"/>
      </w:tblGrid>
      <w:tr w:rsidR="00111135" w:rsidRPr="008119DA" w:rsidTr="00A93E2F">
        <w:trPr>
          <w:trHeight w:val="554"/>
          <w:tblHeader/>
        </w:trPr>
        <w:tc>
          <w:tcPr>
            <w:tcW w:w="2587" w:type="dxa"/>
            <w:shd w:val="clear" w:color="auto" w:fill="auto"/>
            <w:vAlign w:val="center"/>
          </w:tcPr>
          <w:p w:rsidR="00111135" w:rsidRPr="008119DA" w:rsidRDefault="00111135" w:rsidP="00AC2BF8">
            <w:pPr>
              <w:pStyle w:val="a3"/>
              <w:snapToGrid w:val="0"/>
              <w:ind w:leftChars="0" w:left="0"/>
              <w:contextualSpacing/>
              <w:jc w:val="center"/>
              <w:rPr>
                <w:rFonts w:ascii="標楷體" w:eastAsia="標楷體" w:hAnsi="標楷體"/>
                <w:sz w:val="28"/>
                <w:szCs w:val="28"/>
              </w:rPr>
            </w:pPr>
            <w:r w:rsidRPr="008119DA">
              <w:rPr>
                <w:rFonts w:ascii="標楷體" w:eastAsia="標楷體" w:hAnsi="標楷體" w:hint="eastAsia"/>
                <w:sz w:val="28"/>
                <w:szCs w:val="28"/>
              </w:rPr>
              <w:t>稽核發現</w:t>
            </w:r>
          </w:p>
        </w:tc>
        <w:tc>
          <w:tcPr>
            <w:tcW w:w="2587" w:type="dxa"/>
            <w:shd w:val="clear" w:color="auto" w:fill="auto"/>
            <w:vAlign w:val="center"/>
          </w:tcPr>
          <w:p w:rsidR="00111135" w:rsidRPr="008119DA" w:rsidRDefault="00111135" w:rsidP="005560A5">
            <w:pPr>
              <w:pStyle w:val="a3"/>
              <w:snapToGrid w:val="0"/>
              <w:ind w:leftChars="0" w:left="0"/>
              <w:contextualSpacing/>
              <w:jc w:val="center"/>
              <w:rPr>
                <w:rFonts w:ascii="標楷體" w:eastAsia="標楷體" w:hAnsi="標楷體"/>
                <w:sz w:val="28"/>
                <w:szCs w:val="28"/>
              </w:rPr>
            </w:pPr>
            <w:r w:rsidRPr="008119DA">
              <w:rPr>
                <w:rFonts w:ascii="標楷體" w:eastAsia="標楷體" w:hAnsi="標楷體" w:hint="eastAsia"/>
                <w:sz w:val="28"/>
                <w:szCs w:val="28"/>
              </w:rPr>
              <w:t>改善措施/具體興革建議</w:t>
            </w:r>
          </w:p>
        </w:tc>
        <w:tc>
          <w:tcPr>
            <w:tcW w:w="2587" w:type="dxa"/>
            <w:vAlign w:val="center"/>
          </w:tcPr>
          <w:p w:rsidR="00111135" w:rsidRPr="008119DA" w:rsidRDefault="00111135" w:rsidP="005560A5">
            <w:pPr>
              <w:pStyle w:val="a3"/>
              <w:snapToGrid w:val="0"/>
              <w:ind w:leftChars="0" w:left="0"/>
              <w:contextualSpacing/>
              <w:jc w:val="center"/>
              <w:rPr>
                <w:rFonts w:ascii="標楷體" w:eastAsia="標楷體" w:hAnsi="標楷體"/>
                <w:sz w:val="28"/>
                <w:szCs w:val="28"/>
              </w:rPr>
            </w:pPr>
            <w:r w:rsidRPr="008119DA">
              <w:rPr>
                <w:rFonts w:ascii="標楷體" w:eastAsia="標楷體" w:hAnsi="標楷體" w:hint="eastAsia"/>
                <w:sz w:val="28"/>
                <w:szCs w:val="28"/>
              </w:rPr>
              <w:t>受稽核單位回應</w:t>
            </w:r>
          </w:p>
        </w:tc>
        <w:tc>
          <w:tcPr>
            <w:tcW w:w="2730" w:type="dxa"/>
            <w:vAlign w:val="center"/>
          </w:tcPr>
          <w:p w:rsidR="00A93E2F" w:rsidRPr="00A93E2F" w:rsidRDefault="00A93E2F" w:rsidP="00111135">
            <w:pPr>
              <w:pStyle w:val="a3"/>
              <w:snapToGrid w:val="0"/>
              <w:ind w:leftChars="0" w:left="0"/>
              <w:contextualSpacing/>
              <w:jc w:val="center"/>
              <w:rPr>
                <w:rFonts w:ascii="標楷體" w:eastAsia="標楷體" w:hAnsi="標楷體"/>
                <w:sz w:val="26"/>
                <w:szCs w:val="26"/>
              </w:rPr>
            </w:pPr>
            <w:r w:rsidRPr="00A93E2F">
              <w:rPr>
                <w:rFonts w:ascii="標楷體" w:eastAsia="標楷體" w:hAnsi="標楷體" w:hint="eastAsia"/>
                <w:sz w:val="26"/>
                <w:szCs w:val="26"/>
              </w:rPr>
              <w:t>針對隔行欄位之回應</w:t>
            </w:r>
          </w:p>
          <w:p w:rsidR="00A93E2F" w:rsidRDefault="00111135" w:rsidP="00111135">
            <w:pPr>
              <w:pStyle w:val="a3"/>
              <w:snapToGrid w:val="0"/>
              <w:ind w:leftChars="0" w:left="0"/>
              <w:contextualSpacing/>
              <w:jc w:val="center"/>
              <w:rPr>
                <w:rFonts w:ascii="標楷體" w:eastAsia="標楷體" w:hAnsi="標楷體"/>
                <w:color w:val="FF0000"/>
                <w:sz w:val="28"/>
                <w:szCs w:val="28"/>
              </w:rPr>
            </w:pPr>
            <w:r w:rsidRPr="00A93E2F">
              <w:rPr>
                <w:rFonts w:ascii="標楷體" w:eastAsia="標楷體" w:hAnsi="標楷體" w:hint="eastAsia"/>
                <w:color w:val="FF0000"/>
                <w:sz w:val="28"/>
                <w:szCs w:val="28"/>
              </w:rPr>
              <w:t>追蹤成效</w:t>
            </w:r>
          </w:p>
          <w:p w:rsidR="00111135" w:rsidRPr="008119DA" w:rsidRDefault="00A93E2F" w:rsidP="00111135">
            <w:pPr>
              <w:pStyle w:val="a3"/>
              <w:snapToGrid w:val="0"/>
              <w:ind w:leftChars="0" w:left="0"/>
              <w:contextualSpacing/>
              <w:jc w:val="center"/>
              <w:rPr>
                <w:rFonts w:ascii="標楷體" w:eastAsia="標楷體" w:hAnsi="標楷體"/>
                <w:sz w:val="28"/>
                <w:szCs w:val="28"/>
              </w:rPr>
            </w:pPr>
            <w:r w:rsidRPr="00A93E2F">
              <w:rPr>
                <w:rFonts w:ascii="標楷體" w:eastAsia="標楷體" w:hAnsi="標楷體" w:hint="eastAsia"/>
                <w:color w:val="FF0000"/>
                <w:sz w:val="26"/>
                <w:szCs w:val="26"/>
              </w:rPr>
              <w:t>(說明、佐證)</w:t>
            </w:r>
          </w:p>
        </w:tc>
      </w:tr>
      <w:tr w:rsidR="00111135" w:rsidRPr="002F0998" w:rsidTr="00A93E2F">
        <w:trPr>
          <w:trHeight w:val="236"/>
        </w:trPr>
        <w:tc>
          <w:tcPr>
            <w:tcW w:w="2587" w:type="dxa"/>
            <w:shd w:val="clear" w:color="auto" w:fill="auto"/>
          </w:tcPr>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1-1.獸醫學院在多元化學生招收之成果顯示，獸醫學系於108學年度入學3位越南學生；疫苗所於108學年度入學2位巴基斯坦學生；野保所108(香港)及109(緬甸)學年度各入學1位外籍生，共7位外籍生。</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1-2.獸醫學院於107-109學年度之獎學金種類包括鄭武樾董事長獎助學金、徐量如、陳裕江老師基金獎助學金</w:t>
            </w:r>
            <w:proofErr w:type="gramStart"/>
            <w:r w:rsidRPr="00EE6FF9">
              <w:rPr>
                <w:rFonts w:ascii="標楷體" w:eastAsia="標楷體" w:hAnsi="標楷體" w:hint="eastAsia"/>
                <w:szCs w:val="24"/>
              </w:rPr>
              <w:t>及信逢股份有限公司</w:t>
            </w:r>
            <w:proofErr w:type="gramEnd"/>
            <w:r w:rsidRPr="00EE6FF9">
              <w:rPr>
                <w:rFonts w:ascii="標楷體" w:eastAsia="標楷體" w:hAnsi="標楷體" w:hint="eastAsia"/>
                <w:szCs w:val="24"/>
              </w:rPr>
              <w:t>獎助學金等以及人人動物醫院捐款設立之急難救助金。獲得獎學金之人數於獸醫系共有23位；疫苗所共有18位。而野保所在其他獎助方面共有41位，整體成效良好。</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lastRenderedPageBreak/>
              <w:t>1-3.獸醫學院各系所之整體教學評量良好。但108學年度獸醫學系大五校</w:t>
            </w:r>
            <w:proofErr w:type="gramStart"/>
            <w:r w:rsidRPr="00EE6FF9">
              <w:rPr>
                <w:rFonts w:ascii="標楷體" w:eastAsia="標楷體" w:hAnsi="標楷體" w:hint="eastAsia"/>
                <w:szCs w:val="24"/>
              </w:rPr>
              <w:t>內輪診</w:t>
            </w:r>
            <w:proofErr w:type="gramEnd"/>
            <w:r w:rsidRPr="00EE6FF9">
              <w:rPr>
                <w:rFonts w:ascii="標楷體" w:eastAsia="標楷體" w:hAnsi="標楷體" w:hint="eastAsia"/>
                <w:szCs w:val="24"/>
              </w:rPr>
              <w:t>實習滿意度僅有74%。</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1-4.獸醫學系各獲得經農公司贊助及培訓1位博士班及2位碩士班(</w:t>
            </w:r>
            <w:proofErr w:type="gramStart"/>
            <w:r w:rsidRPr="00EE6FF9">
              <w:rPr>
                <w:rFonts w:ascii="標楷體" w:eastAsia="標楷體" w:hAnsi="標楷體" w:hint="eastAsia"/>
                <w:szCs w:val="24"/>
              </w:rPr>
              <w:t>豬病專科</w:t>
            </w:r>
            <w:proofErr w:type="gramEnd"/>
            <w:r w:rsidRPr="00EE6FF9">
              <w:rPr>
                <w:rFonts w:ascii="標楷體" w:eastAsia="標楷體" w:hAnsi="標楷體" w:hint="eastAsia"/>
                <w:szCs w:val="24"/>
              </w:rPr>
              <w:t>獸醫師培訓)。疫苗所及野保所有預</w:t>
            </w:r>
            <w:proofErr w:type="gramStart"/>
            <w:r w:rsidRPr="00EE6FF9">
              <w:rPr>
                <w:rFonts w:ascii="標楷體" w:eastAsia="標楷體" w:hAnsi="標楷體" w:hint="eastAsia"/>
                <w:szCs w:val="24"/>
              </w:rPr>
              <w:t>研</w:t>
            </w:r>
            <w:proofErr w:type="gramEnd"/>
            <w:r w:rsidRPr="00EE6FF9">
              <w:rPr>
                <w:rFonts w:ascii="標楷體" w:eastAsia="標楷體" w:hAnsi="標楷體" w:hint="eastAsia"/>
                <w:szCs w:val="24"/>
              </w:rPr>
              <w:t>生制度，但獸醫系因大五學生需於校內獸醫</w:t>
            </w:r>
            <w:proofErr w:type="gramStart"/>
            <w:r w:rsidRPr="00EE6FF9">
              <w:rPr>
                <w:rFonts w:ascii="標楷體" w:eastAsia="標楷體" w:hAnsi="標楷體" w:hint="eastAsia"/>
                <w:szCs w:val="24"/>
              </w:rPr>
              <w:t>院輪診實習</w:t>
            </w:r>
            <w:proofErr w:type="gramEnd"/>
            <w:r w:rsidRPr="00EE6FF9">
              <w:rPr>
                <w:rFonts w:ascii="標楷體" w:eastAsia="標楷體" w:hAnsi="標楷體" w:hint="eastAsia"/>
                <w:szCs w:val="24"/>
              </w:rPr>
              <w:t>，而不可修其他年級課程，因而暫停預</w:t>
            </w:r>
            <w:proofErr w:type="gramStart"/>
            <w:r w:rsidRPr="00EE6FF9">
              <w:rPr>
                <w:rFonts w:ascii="標楷體" w:eastAsia="標楷體" w:hAnsi="標楷體" w:hint="eastAsia"/>
                <w:szCs w:val="24"/>
              </w:rPr>
              <w:t>研</w:t>
            </w:r>
            <w:proofErr w:type="gramEnd"/>
            <w:r w:rsidRPr="00EE6FF9">
              <w:rPr>
                <w:rFonts w:ascii="標楷體" w:eastAsia="標楷體" w:hAnsi="標楷體" w:hint="eastAsia"/>
                <w:szCs w:val="24"/>
              </w:rPr>
              <w:t>生制度，實</w:t>
            </w:r>
            <w:proofErr w:type="gramStart"/>
            <w:r w:rsidRPr="00EE6FF9">
              <w:rPr>
                <w:rFonts w:ascii="標楷體" w:eastAsia="標楷體" w:hAnsi="標楷體" w:hint="eastAsia"/>
                <w:szCs w:val="24"/>
              </w:rPr>
              <w:t>為可惜</w:t>
            </w:r>
            <w:proofErr w:type="gramEnd"/>
            <w:r w:rsidRPr="00EE6FF9">
              <w:rPr>
                <w:rFonts w:ascii="標楷體" w:eastAsia="標楷體" w:hAnsi="標楷體" w:hint="eastAsia"/>
                <w:szCs w:val="24"/>
              </w:rPr>
              <w:t>。</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szCs w:val="24"/>
              </w:rPr>
              <w:t>2.</w:t>
            </w:r>
            <w:r w:rsidRPr="00EE6FF9">
              <w:rPr>
                <w:rFonts w:ascii="標楷體" w:eastAsia="標楷體" w:hAnsi="標楷體" w:hint="eastAsia"/>
                <w:szCs w:val="24"/>
              </w:rPr>
              <w:t>獸醫學院針對當前社會需求及未來發展趨勢之教學課程的設計面向，目前已推動草食動物、</w:t>
            </w:r>
            <w:proofErr w:type="gramStart"/>
            <w:r w:rsidRPr="00EE6FF9">
              <w:rPr>
                <w:rFonts w:ascii="標楷體" w:eastAsia="標楷體" w:hAnsi="標楷體" w:hint="eastAsia"/>
                <w:szCs w:val="24"/>
              </w:rPr>
              <w:t>豬病、禽病</w:t>
            </w:r>
            <w:proofErr w:type="gramEnd"/>
            <w:r w:rsidRPr="00EE6FF9">
              <w:rPr>
                <w:rFonts w:ascii="標楷體" w:eastAsia="標楷體" w:hAnsi="標楷體" w:hint="eastAsia"/>
                <w:szCs w:val="24"/>
              </w:rPr>
              <w:t>及水生動物組專科獸醫師之培育，但從事經濟動物之畢業</w:t>
            </w:r>
            <w:proofErr w:type="gramStart"/>
            <w:r w:rsidRPr="00EE6FF9">
              <w:rPr>
                <w:rFonts w:ascii="標楷體" w:eastAsia="標楷體" w:hAnsi="標楷體" w:hint="eastAsia"/>
                <w:szCs w:val="24"/>
              </w:rPr>
              <w:t>學生仍少</w:t>
            </w:r>
            <w:proofErr w:type="gramEnd"/>
            <w:r w:rsidRPr="00EE6FF9">
              <w:rPr>
                <w:rFonts w:ascii="標楷體" w:eastAsia="標楷體" w:hAnsi="標楷體" w:hint="eastAsia"/>
                <w:szCs w:val="24"/>
              </w:rPr>
              <w:t>。</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szCs w:val="24"/>
              </w:rPr>
              <w:t>3.</w:t>
            </w:r>
            <w:r w:rsidRPr="00EE6FF9">
              <w:rPr>
                <w:rFonts w:ascii="標楷體" w:eastAsia="標楷體" w:hAnsi="標楷體" w:hint="eastAsia"/>
                <w:szCs w:val="24"/>
              </w:rPr>
              <w:t>野保所於107-</w:t>
            </w:r>
            <w:proofErr w:type="gramStart"/>
            <w:r w:rsidRPr="00EE6FF9">
              <w:rPr>
                <w:rFonts w:ascii="標楷體" w:eastAsia="標楷體" w:hAnsi="標楷體" w:hint="eastAsia"/>
                <w:szCs w:val="24"/>
              </w:rPr>
              <w:t>108</w:t>
            </w:r>
            <w:proofErr w:type="gramEnd"/>
            <w:r w:rsidRPr="00EE6FF9">
              <w:rPr>
                <w:rFonts w:ascii="標楷體" w:eastAsia="標楷體" w:hAnsi="標楷體" w:hint="eastAsia"/>
                <w:szCs w:val="24"/>
              </w:rPr>
              <w:t>年度與相關公民營機關進行合作，提供野生動物生態研究、保育、危害防治、救傷及疾病診斷監測等服務件數約達40件。疫苗所與國內外公司簽訂產學合作，合計21家。獸醫學系動物疾病診斷中心各功能實驗室共檢測病例場次包括豬場810場次、家禽場149場次、草食動物場6場次、及水生動物285場次，共計1,250數，服務件數共36,993件，成果豐碩。</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szCs w:val="24"/>
              </w:rPr>
              <w:t>4.</w:t>
            </w:r>
            <w:r w:rsidRPr="00EE6FF9">
              <w:rPr>
                <w:rFonts w:ascii="標楷體" w:eastAsia="標楷體" w:hAnsi="標楷體" w:hint="eastAsia"/>
                <w:szCs w:val="24"/>
              </w:rPr>
              <w:t>獸醫學院已完成與台灣國際性大廠，包括瑞寶基因公司、維 克生技公司等之合作備忘錄簽訂。並積極爭取進一步的產學合作及教育訓練計劃。</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5.已針對動物醫院營運計畫進行規劃，並健全財務運作，就107-108年之病例數達4565件，共收入約2800萬，應可達自己自足之目標。動物疾病診斷中心於108年執行產學合作計畫案共8件，爭取經費達11,180,000元；且該中心正負壓實驗動物房每年可供校內教師進行10件/次，每次使用2~4個月之試驗服務。</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6.獸醫學系</w:t>
            </w:r>
            <w:proofErr w:type="gramStart"/>
            <w:r w:rsidRPr="00EE6FF9">
              <w:rPr>
                <w:rFonts w:ascii="標楷體" w:eastAsia="標楷體" w:hAnsi="標楷體" w:hint="eastAsia"/>
                <w:szCs w:val="24"/>
              </w:rPr>
              <w:t>之豬病團隊</w:t>
            </w:r>
            <w:proofErr w:type="gramEnd"/>
            <w:r w:rsidRPr="00EE6FF9">
              <w:rPr>
                <w:rFonts w:ascii="標楷體" w:eastAsia="標楷體" w:hAnsi="標楷體" w:hint="eastAsia"/>
                <w:szCs w:val="24"/>
              </w:rPr>
              <w:t>、小動物團隊、水生動物團隊及</w:t>
            </w:r>
            <w:proofErr w:type="gramStart"/>
            <w:r w:rsidRPr="00EE6FF9">
              <w:rPr>
                <w:rFonts w:ascii="標楷體" w:eastAsia="標楷體" w:hAnsi="標楷體" w:hint="eastAsia"/>
                <w:szCs w:val="24"/>
              </w:rPr>
              <w:t>草食暨野生動物</w:t>
            </w:r>
            <w:proofErr w:type="gramEnd"/>
            <w:r w:rsidRPr="00EE6FF9">
              <w:rPr>
                <w:rFonts w:ascii="標楷體" w:eastAsia="標楷體" w:hAnsi="標楷體" w:hint="eastAsia"/>
                <w:szCs w:val="24"/>
              </w:rPr>
              <w:t>團隊之教師空間已完成整</w:t>
            </w:r>
            <w:proofErr w:type="gramStart"/>
            <w:r w:rsidRPr="00EE6FF9">
              <w:rPr>
                <w:rFonts w:ascii="標楷體" w:eastAsia="標楷體" w:hAnsi="標楷體" w:hint="eastAsia"/>
                <w:szCs w:val="24"/>
              </w:rPr>
              <w:t>併</w:t>
            </w:r>
            <w:proofErr w:type="gramEnd"/>
            <w:r w:rsidRPr="00EE6FF9">
              <w:rPr>
                <w:rFonts w:ascii="標楷體" w:eastAsia="標楷體" w:hAnsi="標楷體" w:hint="eastAsia"/>
                <w:szCs w:val="24"/>
              </w:rPr>
              <w:t>於同一樓層空間。且動物疾病診斷中心之核心實驗室已完成9項共用儀器之設置及使用規劃。</w:t>
            </w:r>
          </w:p>
        </w:tc>
        <w:tc>
          <w:tcPr>
            <w:tcW w:w="2587" w:type="dxa"/>
            <w:shd w:val="clear" w:color="auto" w:fill="auto"/>
          </w:tcPr>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lastRenderedPageBreak/>
              <w:t>1-1.持續加強推動外籍學生入學貴學院；</w:t>
            </w:r>
            <w:proofErr w:type="gramStart"/>
            <w:r w:rsidRPr="00EE6FF9">
              <w:rPr>
                <w:rFonts w:ascii="標楷體" w:eastAsia="標楷體" w:hAnsi="標楷體" w:hint="eastAsia"/>
                <w:szCs w:val="24"/>
              </w:rPr>
              <w:t>惟</w:t>
            </w:r>
            <w:proofErr w:type="gramEnd"/>
            <w:r w:rsidRPr="00EE6FF9">
              <w:rPr>
                <w:rFonts w:ascii="標楷體" w:eastAsia="標楷體" w:hAnsi="標楷體" w:hint="eastAsia"/>
                <w:szCs w:val="24"/>
              </w:rPr>
              <w:t>2年來之外籍生入學人數僅7位，建議應有更積極作為，主動爭取海外招生機會。</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1-2.持續積極爭取更多之學生獎助金，以提升學生之就讀意願。</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1-3.持續優化課程，提升學生學習意願與品質。建議探討大五校</w:t>
            </w:r>
            <w:proofErr w:type="gramStart"/>
            <w:r w:rsidRPr="00EE6FF9">
              <w:rPr>
                <w:rFonts w:ascii="標楷體" w:eastAsia="標楷體" w:hAnsi="標楷體" w:hint="eastAsia"/>
                <w:szCs w:val="24"/>
              </w:rPr>
              <w:t>內輪診</w:t>
            </w:r>
            <w:proofErr w:type="gramEnd"/>
            <w:r w:rsidRPr="00EE6FF9">
              <w:rPr>
                <w:rFonts w:ascii="標楷體" w:eastAsia="標楷體" w:hAnsi="標楷體" w:hint="eastAsia"/>
                <w:szCs w:val="24"/>
              </w:rPr>
              <w:t>實習滿意度僅有74%之原因，另宜重新審視獸醫系大五校</w:t>
            </w:r>
            <w:proofErr w:type="gramStart"/>
            <w:r w:rsidRPr="00EE6FF9">
              <w:rPr>
                <w:rFonts w:ascii="標楷體" w:eastAsia="標楷體" w:hAnsi="標楷體" w:hint="eastAsia"/>
                <w:szCs w:val="24"/>
              </w:rPr>
              <w:t>內輪診</w:t>
            </w:r>
            <w:proofErr w:type="gramEnd"/>
            <w:r w:rsidRPr="00EE6FF9">
              <w:rPr>
                <w:rFonts w:ascii="標楷體" w:eastAsia="標楷體" w:hAnsi="標楷體" w:hint="eastAsia"/>
                <w:szCs w:val="24"/>
              </w:rPr>
              <w:t>實習，以提升教學品質。</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1-4.鑒於獸醫系大五學生需於校內獸醫</w:t>
            </w:r>
            <w:proofErr w:type="gramStart"/>
            <w:r w:rsidRPr="00EE6FF9">
              <w:rPr>
                <w:rFonts w:ascii="標楷體" w:eastAsia="標楷體" w:hAnsi="標楷體" w:hint="eastAsia"/>
                <w:szCs w:val="24"/>
              </w:rPr>
              <w:t>院輪診實習</w:t>
            </w:r>
            <w:proofErr w:type="gramEnd"/>
            <w:r w:rsidRPr="00EE6FF9">
              <w:rPr>
                <w:rFonts w:ascii="標楷體" w:eastAsia="標楷體" w:hAnsi="標楷體" w:hint="eastAsia"/>
                <w:szCs w:val="24"/>
              </w:rPr>
              <w:t>，不可修其他年級課程，因而暫停預</w:t>
            </w:r>
            <w:proofErr w:type="gramStart"/>
            <w:r w:rsidRPr="00EE6FF9">
              <w:rPr>
                <w:rFonts w:ascii="標楷體" w:eastAsia="標楷體" w:hAnsi="標楷體" w:hint="eastAsia"/>
                <w:szCs w:val="24"/>
              </w:rPr>
              <w:t>研</w:t>
            </w:r>
            <w:proofErr w:type="gramEnd"/>
            <w:r w:rsidRPr="00EE6FF9">
              <w:rPr>
                <w:rFonts w:ascii="標楷體" w:eastAsia="標楷體" w:hAnsi="標楷體" w:hint="eastAsia"/>
                <w:szCs w:val="24"/>
              </w:rPr>
              <w:t>生制度。建議統整大五學生校內獸醫</w:t>
            </w:r>
            <w:proofErr w:type="gramStart"/>
            <w:r w:rsidRPr="00EE6FF9">
              <w:rPr>
                <w:rFonts w:ascii="標楷體" w:eastAsia="標楷體" w:hAnsi="標楷體" w:hint="eastAsia"/>
                <w:szCs w:val="24"/>
              </w:rPr>
              <w:t>院輪診實習</w:t>
            </w:r>
            <w:proofErr w:type="gramEnd"/>
            <w:r w:rsidRPr="00EE6FF9">
              <w:rPr>
                <w:rFonts w:ascii="標楷體" w:eastAsia="標楷體" w:hAnsi="標楷體" w:hint="eastAsia"/>
                <w:szCs w:val="24"/>
              </w:rPr>
              <w:t>與預</w:t>
            </w:r>
            <w:proofErr w:type="gramStart"/>
            <w:r w:rsidRPr="00EE6FF9">
              <w:rPr>
                <w:rFonts w:ascii="標楷體" w:eastAsia="標楷體" w:hAnsi="標楷體" w:hint="eastAsia"/>
                <w:szCs w:val="24"/>
              </w:rPr>
              <w:t>研</w:t>
            </w:r>
            <w:proofErr w:type="gramEnd"/>
            <w:r w:rsidRPr="00EE6FF9">
              <w:rPr>
                <w:rFonts w:ascii="標楷體" w:eastAsia="標楷體" w:hAnsi="標楷體" w:hint="eastAsia"/>
                <w:szCs w:val="24"/>
              </w:rPr>
              <w:t>生制度，仍希望</w:t>
            </w:r>
            <w:proofErr w:type="gramStart"/>
            <w:r w:rsidRPr="00EE6FF9">
              <w:rPr>
                <w:rFonts w:ascii="標楷體" w:eastAsia="標楷體" w:hAnsi="標楷體" w:hint="eastAsia"/>
                <w:szCs w:val="24"/>
              </w:rPr>
              <w:t>獸醫系能有</w:t>
            </w:r>
            <w:proofErr w:type="gramEnd"/>
            <w:r w:rsidRPr="00EE6FF9">
              <w:rPr>
                <w:rFonts w:ascii="標楷體" w:eastAsia="標楷體" w:hAnsi="標楷體" w:hint="eastAsia"/>
                <w:szCs w:val="24"/>
              </w:rPr>
              <w:t>預</w:t>
            </w:r>
            <w:proofErr w:type="gramStart"/>
            <w:r w:rsidRPr="00EE6FF9">
              <w:rPr>
                <w:rFonts w:ascii="標楷體" w:eastAsia="標楷體" w:hAnsi="標楷體" w:hint="eastAsia"/>
                <w:szCs w:val="24"/>
              </w:rPr>
              <w:t>研</w:t>
            </w:r>
            <w:proofErr w:type="gramEnd"/>
            <w:r w:rsidRPr="00EE6FF9">
              <w:rPr>
                <w:rFonts w:ascii="標楷體" w:eastAsia="標楷體" w:hAnsi="標楷體" w:hint="eastAsia"/>
                <w:szCs w:val="24"/>
              </w:rPr>
              <w:t>生制度，以</w:t>
            </w:r>
            <w:r w:rsidRPr="00EE6FF9">
              <w:rPr>
                <w:rFonts w:ascii="標楷體" w:eastAsia="標楷體" w:hAnsi="標楷體" w:hint="eastAsia"/>
                <w:szCs w:val="24"/>
              </w:rPr>
              <w:lastRenderedPageBreak/>
              <w:t>提升該系之碩士班招生效益。</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2.獸醫系畢業學生仍多以從事伴侶動物獸醫師為職志，因此建議從課程面或其他層面進行修正，以提升學生畢業後從事經濟動物獸醫師之意願。</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3.持續與產業鏈結，並積極爭取產學計畫，以活化獸醫學院各系所之產學研發能力。</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4.雖與國內之國際性大廠簽訂合作備忘錄，但實際之產學合作推動仍未見成效，建議要有更主動積極之作為。</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5.持續學院各部門之優化，除可強化學院之研發能力外，亦可提升教學品質與學生學習環境。</w:t>
            </w:r>
          </w:p>
          <w:p w:rsidR="00111135" w:rsidRPr="00EE6FF9" w:rsidRDefault="00111135" w:rsidP="00F80272">
            <w:pPr>
              <w:spacing w:line="380" w:lineRule="exact"/>
              <w:ind w:leftChars="-25" w:left="173" w:rightChars="-17" w:right="-41" w:hangingChars="97" w:hanging="233"/>
              <w:jc w:val="both"/>
              <w:rPr>
                <w:rFonts w:ascii="標楷體" w:eastAsia="標楷體" w:hAnsi="標楷體"/>
                <w:szCs w:val="24"/>
              </w:rPr>
            </w:pPr>
            <w:r w:rsidRPr="00EE6FF9">
              <w:rPr>
                <w:rFonts w:ascii="標楷體" w:eastAsia="標楷體" w:hAnsi="標楷體" w:hint="eastAsia"/>
                <w:szCs w:val="24"/>
              </w:rPr>
              <w:t>6.持續優化學院各單位之結構鏈結，提供更優化之研究與教學環境及功能。</w:t>
            </w:r>
          </w:p>
        </w:tc>
        <w:tc>
          <w:tcPr>
            <w:tcW w:w="2587" w:type="dxa"/>
          </w:tcPr>
          <w:p w:rsidR="00707A94" w:rsidRDefault="00111135" w:rsidP="00707A94">
            <w:pPr>
              <w:spacing w:line="460" w:lineRule="exact"/>
              <w:ind w:left="257" w:hangingChars="107" w:hanging="257"/>
              <w:rPr>
                <w:rFonts w:ascii="標楷體" w:eastAsia="標楷體" w:hAnsi="標楷體"/>
                <w:szCs w:val="24"/>
              </w:rPr>
            </w:pPr>
            <w:r w:rsidRPr="00F80272">
              <w:rPr>
                <w:rFonts w:ascii="標楷體" w:eastAsia="標楷體" w:hAnsi="標楷體"/>
                <w:szCs w:val="24"/>
              </w:rPr>
              <w:lastRenderedPageBreak/>
              <w:t>1-1</w:t>
            </w:r>
            <w:r w:rsidRPr="00F80272">
              <w:rPr>
                <w:rFonts w:ascii="標楷體" w:eastAsia="標楷體" w:hAnsi="標楷體" w:hint="eastAsia"/>
                <w:szCs w:val="24"/>
              </w:rPr>
              <w:t>持續推動積極海外招生。</w:t>
            </w:r>
          </w:p>
          <w:p w:rsidR="00707A94" w:rsidRDefault="00707A94" w:rsidP="00707A94">
            <w:pPr>
              <w:spacing w:line="460" w:lineRule="exact"/>
              <w:ind w:left="300" w:hangingChars="107" w:hanging="300"/>
              <w:rPr>
                <w:rFonts w:ascii="標楷體" w:eastAsia="標楷體" w:hAnsi="標楷體"/>
                <w:sz w:val="28"/>
                <w:szCs w:val="28"/>
              </w:rPr>
            </w:pPr>
            <w:r>
              <w:rPr>
                <w:rFonts w:ascii="標楷體" w:eastAsia="標楷體" w:hAnsi="標楷體" w:hint="eastAsia"/>
                <w:sz w:val="28"/>
                <w:szCs w:val="28"/>
                <w:highlight w:val="yellow"/>
              </w:rPr>
              <w:t>【</w:t>
            </w:r>
            <w:r w:rsidR="00167BE1">
              <w:rPr>
                <w:rFonts w:ascii="標楷體" w:eastAsia="標楷體" w:hAnsi="標楷體" w:hint="eastAsia"/>
                <w:sz w:val="28"/>
                <w:szCs w:val="28"/>
                <w:highlight w:val="yellow"/>
              </w:rPr>
              <w:t>三系所</w:t>
            </w:r>
            <w:r>
              <w:rPr>
                <w:rFonts w:ascii="標楷體" w:eastAsia="標楷體" w:hAnsi="標楷體" w:hint="eastAsia"/>
                <w:sz w:val="28"/>
                <w:szCs w:val="28"/>
                <w:highlight w:val="yellow"/>
              </w:rPr>
              <w:t>提供資料】</w:t>
            </w:r>
          </w:p>
          <w:p w:rsidR="00111135" w:rsidRPr="00707A94" w:rsidRDefault="00111135" w:rsidP="00F80272">
            <w:pPr>
              <w:spacing w:line="380" w:lineRule="exact"/>
              <w:ind w:leftChars="-25" w:left="173" w:rightChars="-17" w:right="-41" w:hangingChars="97" w:hanging="233"/>
              <w:jc w:val="both"/>
              <w:rPr>
                <w:rFonts w:ascii="標楷體" w:eastAsia="標楷體" w:hAnsi="標楷體"/>
                <w:szCs w:val="24"/>
              </w:rPr>
            </w:pPr>
          </w:p>
          <w:p w:rsidR="00707A94" w:rsidRDefault="00111135" w:rsidP="00707A94">
            <w:pPr>
              <w:spacing w:line="460" w:lineRule="exact"/>
              <w:ind w:left="257" w:hangingChars="107" w:hanging="257"/>
              <w:rPr>
                <w:rFonts w:ascii="標楷體" w:eastAsia="標楷體" w:hAnsi="標楷體"/>
                <w:szCs w:val="24"/>
              </w:rPr>
            </w:pPr>
            <w:r w:rsidRPr="00F80272">
              <w:rPr>
                <w:rFonts w:ascii="標楷體" w:eastAsia="標楷體" w:hAnsi="標楷體"/>
                <w:szCs w:val="24"/>
              </w:rPr>
              <w:t>1-2</w:t>
            </w:r>
            <w:r w:rsidRPr="00F80272">
              <w:rPr>
                <w:rFonts w:ascii="標楷體" w:eastAsia="標楷體" w:hAnsi="標楷體" w:hint="eastAsia"/>
                <w:szCs w:val="24"/>
              </w:rPr>
              <w:t>本院陳石柱院長於畜牧獸醫校友分會會議中提出鼓勵獸醫科系學生攻讀博士學位與聘用研究員從事獸醫研究工作，擬設立獎學金基金。</w:t>
            </w:r>
          </w:p>
          <w:p w:rsidR="00707A94" w:rsidRDefault="00303579" w:rsidP="00707A94">
            <w:pPr>
              <w:spacing w:line="460" w:lineRule="exact"/>
              <w:ind w:left="300" w:hangingChars="107" w:hanging="300"/>
              <w:rPr>
                <w:rFonts w:ascii="標楷體" w:eastAsia="標楷體" w:hAnsi="標楷體"/>
                <w:sz w:val="28"/>
                <w:szCs w:val="28"/>
              </w:rPr>
            </w:pPr>
            <w:r>
              <w:rPr>
                <w:rFonts w:ascii="標楷體" w:eastAsia="標楷體" w:hAnsi="標楷體" w:hint="eastAsia"/>
                <w:sz w:val="28"/>
                <w:szCs w:val="28"/>
                <w:highlight w:val="yellow"/>
              </w:rPr>
              <w:t>【獸醫學院</w:t>
            </w:r>
            <w:r w:rsidR="00707A94">
              <w:rPr>
                <w:rFonts w:ascii="標楷體" w:eastAsia="標楷體" w:hAnsi="標楷體" w:hint="eastAsia"/>
                <w:sz w:val="28"/>
                <w:szCs w:val="28"/>
                <w:highlight w:val="yellow"/>
              </w:rPr>
              <w:t>提供資料】</w:t>
            </w:r>
          </w:p>
          <w:p w:rsidR="00111135" w:rsidRPr="00707A94" w:rsidRDefault="00111135" w:rsidP="00F80272">
            <w:pPr>
              <w:spacing w:line="380" w:lineRule="exact"/>
              <w:ind w:leftChars="-25" w:left="173" w:rightChars="-17" w:right="-41" w:hangingChars="97" w:hanging="233"/>
              <w:jc w:val="both"/>
              <w:rPr>
                <w:rFonts w:ascii="標楷體" w:eastAsia="標楷體" w:hAnsi="標楷體"/>
                <w:szCs w:val="24"/>
              </w:rPr>
            </w:pPr>
          </w:p>
          <w:p w:rsidR="00707A94" w:rsidRDefault="00111135" w:rsidP="00707A94">
            <w:pPr>
              <w:spacing w:line="460" w:lineRule="exact"/>
              <w:ind w:left="257" w:hangingChars="107" w:hanging="257"/>
              <w:rPr>
                <w:rFonts w:ascii="標楷體" w:eastAsia="標楷體" w:hAnsi="標楷體"/>
                <w:szCs w:val="24"/>
              </w:rPr>
            </w:pPr>
            <w:r w:rsidRPr="00F80272">
              <w:rPr>
                <w:rFonts w:ascii="標楷體" w:eastAsia="標楷體" w:hAnsi="標楷體"/>
                <w:szCs w:val="24"/>
              </w:rPr>
              <w:t>1-3</w:t>
            </w:r>
            <w:r w:rsidRPr="00F80272">
              <w:rPr>
                <w:rFonts w:ascii="標楷體" w:eastAsia="標楷體" w:hAnsi="標楷體" w:hint="eastAsia"/>
                <w:szCs w:val="24"/>
              </w:rPr>
              <w:t>已針對實習滿意度進行分析，於109-1學期已依照動物種別重新調整分組實習方式，各組相對應之授課教師亦隨之</w:t>
            </w:r>
            <w:r w:rsidRPr="00F80272">
              <w:rPr>
                <w:rFonts w:ascii="標楷體" w:eastAsia="標楷體" w:hAnsi="標楷體" w:hint="eastAsia"/>
                <w:szCs w:val="24"/>
              </w:rPr>
              <w:lastRenderedPageBreak/>
              <w:t>調整，並依照各組實習內涵之需求，設定實習考核標準。</w:t>
            </w:r>
          </w:p>
          <w:p w:rsidR="00707A94" w:rsidRDefault="00FB273F" w:rsidP="00707A94">
            <w:pPr>
              <w:spacing w:line="460" w:lineRule="exact"/>
              <w:ind w:left="300" w:hangingChars="107" w:hanging="300"/>
              <w:rPr>
                <w:rFonts w:ascii="標楷體" w:eastAsia="標楷體" w:hAnsi="標楷體"/>
                <w:sz w:val="28"/>
                <w:szCs w:val="28"/>
              </w:rPr>
            </w:pPr>
            <w:r>
              <w:rPr>
                <w:rFonts w:ascii="標楷體" w:eastAsia="標楷體" w:hAnsi="標楷體" w:hint="eastAsia"/>
                <w:sz w:val="28"/>
                <w:szCs w:val="28"/>
                <w:highlight w:val="yellow"/>
              </w:rPr>
              <w:t>【獸醫系</w:t>
            </w:r>
            <w:r w:rsidR="00707A94">
              <w:rPr>
                <w:rFonts w:ascii="標楷體" w:eastAsia="標楷體" w:hAnsi="標楷體" w:hint="eastAsia"/>
                <w:sz w:val="28"/>
                <w:szCs w:val="28"/>
                <w:highlight w:val="yellow"/>
              </w:rPr>
              <w:t>提供資</w:t>
            </w:r>
            <w:r w:rsidR="00324879">
              <w:rPr>
                <w:rFonts w:ascii="標楷體" w:eastAsia="標楷體" w:hAnsi="標楷體" w:hint="eastAsia"/>
                <w:sz w:val="28"/>
                <w:szCs w:val="28"/>
                <w:highlight w:val="yellow"/>
              </w:rPr>
              <w:t>料</w:t>
            </w:r>
            <w:r w:rsidR="00707A94">
              <w:rPr>
                <w:rFonts w:ascii="標楷體" w:eastAsia="標楷體" w:hAnsi="標楷體" w:hint="eastAsia"/>
                <w:sz w:val="28"/>
                <w:szCs w:val="28"/>
                <w:highlight w:val="yellow"/>
              </w:rPr>
              <w:t>】</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p>
          <w:p w:rsidR="00707A94" w:rsidRDefault="00111135" w:rsidP="00707A94">
            <w:pPr>
              <w:spacing w:line="460" w:lineRule="exact"/>
              <w:ind w:left="257" w:hangingChars="107" w:hanging="257"/>
              <w:rPr>
                <w:rFonts w:ascii="標楷體" w:eastAsia="標楷體" w:hAnsi="標楷體"/>
                <w:sz w:val="28"/>
                <w:szCs w:val="28"/>
              </w:rPr>
            </w:pPr>
            <w:r w:rsidRPr="00F80272">
              <w:rPr>
                <w:rFonts w:ascii="標楷體" w:eastAsia="標楷體" w:hAnsi="標楷體"/>
                <w:szCs w:val="24"/>
              </w:rPr>
              <w:t>1-4</w:t>
            </w:r>
            <w:r w:rsidRPr="00F80272">
              <w:rPr>
                <w:rFonts w:ascii="標楷體" w:eastAsia="標楷體" w:hAnsi="標楷體" w:hint="eastAsia"/>
                <w:szCs w:val="24"/>
              </w:rPr>
              <w:t>獸醫學系已恢復預</w:t>
            </w:r>
            <w:proofErr w:type="gramStart"/>
            <w:r w:rsidRPr="00F80272">
              <w:rPr>
                <w:rFonts w:ascii="標楷體" w:eastAsia="標楷體" w:hAnsi="標楷體" w:hint="eastAsia"/>
                <w:szCs w:val="24"/>
              </w:rPr>
              <w:t>研生修</w:t>
            </w:r>
            <w:proofErr w:type="gramEnd"/>
            <w:r w:rsidRPr="00F80272">
              <w:rPr>
                <w:rFonts w:ascii="標楷體" w:eastAsia="標楷體" w:hAnsi="標楷體" w:hint="eastAsia"/>
                <w:szCs w:val="24"/>
              </w:rPr>
              <w:t>讀制度，惟基於獸醫臨床訓練之完整性考量，大五學生於校內</w:t>
            </w:r>
            <w:proofErr w:type="gramStart"/>
            <w:r w:rsidRPr="00F80272">
              <w:rPr>
                <w:rFonts w:ascii="標楷體" w:eastAsia="標楷體" w:hAnsi="標楷體" w:hint="eastAsia"/>
                <w:szCs w:val="24"/>
              </w:rPr>
              <w:t>進行輪診門診</w:t>
            </w:r>
            <w:proofErr w:type="gramEnd"/>
            <w:r w:rsidRPr="00F80272">
              <w:rPr>
                <w:rFonts w:ascii="標楷體" w:eastAsia="標楷體" w:hAnsi="標楷體" w:hint="eastAsia"/>
                <w:szCs w:val="24"/>
              </w:rPr>
              <w:t>實習期間不可修讀其他課程之規定仍未放寬。</w:t>
            </w:r>
            <w:r w:rsidR="002A0F59">
              <w:rPr>
                <w:rFonts w:ascii="標楷體" w:eastAsia="標楷體" w:hAnsi="標楷體" w:hint="eastAsia"/>
                <w:sz w:val="28"/>
                <w:szCs w:val="28"/>
                <w:highlight w:val="yellow"/>
              </w:rPr>
              <w:t>【獸醫系</w:t>
            </w:r>
            <w:r w:rsidR="00707A94">
              <w:rPr>
                <w:rFonts w:ascii="標楷體" w:eastAsia="標楷體" w:hAnsi="標楷體" w:hint="eastAsia"/>
                <w:sz w:val="28"/>
                <w:szCs w:val="28"/>
                <w:highlight w:val="yellow"/>
              </w:rPr>
              <w:t>提供資料】</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p>
          <w:p w:rsidR="00707A94"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2.獸醫學系學生以伴侶動物獸醫師為職志之比率偏高舉世皆然，本校</w:t>
            </w:r>
            <w:proofErr w:type="gramStart"/>
            <w:r w:rsidRPr="00F80272">
              <w:rPr>
                <w:rFonts w:ascii="標楷體" w:eastAsia="標楷體" w:hAnsi="標楷體" w:hint="eastAsia"/>
                <w:szCs w:val="24"/>
              </w:rPr>
              <w:t>獸醫學系亦難</w:t>
            </w:r>
            <w:proofErr w:type="gramEnd"/>
            <w:r w:rsidRPr="00F80272">
              <w:rPr>
                <w:rFonts w:ascii="標楷體" w:eastAsia="標楷體" w:hAnsi="標楷體" w:hint="eastAsia"/>
                <w:szCs w:val="24"/>
              </w:rPr>
              <w:t>置身其外。然近年來獸醫學系積極強化經濟動物領域之教學及實務訓練，並施行包含</w:t>
            </w:r>
            <w:proofErr w:type="gramStart"/>
            <w:r w:rsidRPr="00F80272">
              <w:rPr>
                <w:rFonts w:ascii="標楷體" w:eastAsia="標楷體" w:hAnsi="標楷體" w:hint="eastAsia"/>
                <w:szCs w:val="24"/>
              </w:rPr>
              <w:t>豬病、禽病</w:t>
            </w:r>
            <w:proofErr w:type="gramEnd"/>
            <w:r w:rsidRPr="00F80272">
              <w:rPr>
                <w:rFonts w:ascii="標楷體" w:eastAsia="標楷體" w:hAnsi="標楷體" w:hint="eastAsia"/>
                <w:szCs w:val="24"/>
              </w:rPr>
              <w:t>、大動物及水生動物等物種之住院獸醫師訓練制度，其成效已日益顯著，投入經濟動物領域之研究及臨床實務工作之學生已有明顯增加之趨勢。未來將持續精進經濟動物領域之訓練制度，以吸引並訓練更多優質學生投入產業服務。</w:t>
            </w:r>
          </w:p>
          <w:p w:rsidR="00111135" w:rsidRPr="00F80272" w:rsidRDefault="009906A4" w:rsidP="00707A94">
            <w:pPr>
              <w:spacing w:line="380" w:lineRule="exact"/>
              <w:ind w:leftChars="-25" w:left="212" w:rightChars="-17" w:right="-41" w:hangingChars="97" w:hanging="272"/>
              <w:jc w:val="both"/>
              <w:rPr>
                <w:rFonts w:ascii="標楷體" w:eastAsia="標楷體" w:hAnsi="標楷體"/>
                <w:szCs w:val="24"/>
              </w:rPr>
            </w:pPr>
            <w:r>
              <w:rPr>
                <w:rFonts w:ascii="標楷體" w:eastAsia="標楷體" w:hAnsi="標楷體" w:hint="eastAsia"/>
                <w:sz w:val="28"/>
                <w:szCs w:val="28"/>
                <w:highlight w:val="yellow"/>
              </w:rPr>
              <w:t>【獸醫系</w:t>
            </w:r>
            <w:r w:rsidR="00707A94">
              <w:rPr>
                <w:rFonts w:ascii="標楷體" w:eastAsia="標楷體" w:hAnsi="標楷體" w:hint="eastAsia"/>
                <w:sz w:val="28"/>
                <w:szCs w:val="28"/>
                <w:highlight w:val="yellow"/>
              </w:rPr>
              <w:t>提供資料】</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3.本院107-108年產學合作計畫合計:183件，行政管理費多達893萬6,819元，另外獲得8件專利及技轉6件。</w:t>
            </w:r>
            <w:r w:rsidR="00042D57" w:rsidRPr="00042D57">
              <w:rPr>
                <w:rFonts w:ascii="標楷體" w:eastAsia="標楷體" w:hAnsi="標楷體" w:hint="eastAsia"/>
                <w:szCs w:val="24"/>
                <w:highlight w:val="yellow"/>
              </w:rPr>
              <w:t>(</w:t>
            </w:r>
            <w:r w:rsidR="00324879">
              <w:rPr>
                <w:rFonts w:ascii="標楷體" w:eastAsia="標楷體" w:hAnsi="標楷體" w:hint="eastAsia"/>
                <w:szCs w:val="24"/>
                <w:highlight w:val="yellow"/>
              </w:rPr>
              <w:t>獸醫學院</w:t>
            </w:r>
            <w:bookmarkStart w:id="0" w:name="_GoBack"/>
            <w:bookmarkEnd w:id="0"/>
            <w:r w:rsidR="00042D57" w:rsidRPr="00042D57">
              <w:rPr>
                <w:rFonts w:ascii="標楷體" w:eastAsia="標楷體" w:hAnsi="標楷體" w:hint="eastAsia"/>
                <w:szCs w:val="24"/>
                <w:highlight w:val="yellow"/>
              </w:rPr>
              <w:t>補109年度產學計畫相關資料。)</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野保所雖與產業界連結較少但2年亦有執行98</w:t>
            </w:r>
            <w:r w:rsidR="008D470F">
              <w:rPr>
                <w:rFonts w:ascii="標楷體" w:eastAsia="標楷體" w:hAnsi="標楷體" w:hint="eastAsia"/>
                <w:szCs w:val="24"/>
              </w:rPr>
              <w:t>件</w:t>
            </w:r>
            <w:proofErr w:type="gramStart"/>
            <w:r w:rsidR="008D470F">
              <w:rPr>
                <w:rFonts w:ascii="標楷體" w:eastAsia="標楷體" w:hAnsi="標楷體" w:hint="eastAsia"/>
                <w:szCs w:val="24"/>
              </w:rPr>
              <w:t>計畫且跨</w:t>
            </w:r>
            <w:r w:rsidRPr="00F80272">
              <w:rPr>
                <w:rFonts w:ascii="標楷體" w:eastAsia="標楷體" w:hAnsi="標楷體" w:hint="eastAsia"/>
                <w:szCs w:val="24"/>
              </w:rPr>
              <w:t>領域</w:t>
            </w:r>
            <w:proofErr w:type="gramEnd"/>
            <w:r w:rsidRPr="00F80272">
              <w:rPr>
                <w:rFonts w:ascii="標楷體" w:eastAsia="標楷體" w:hAnsi="標楷體" w:hint="eastAsia"/>
                <w:szCs w:val="24"/>
              </w:rPr>
              <w:t>合作，如下所示:</w:t>
            </w:r>
          </w:p>
          <w:tbl>
            <w:tblPr>
              <w:tblStyle w:val="a8"/>
              <w:tblW w:w="2317" w:type="dxa"/>
              <w:jc w:val="center"/>
              <w:tblLayout w:type="fixed"/>
              <w:tblLook w:val="04A0" w:firstRow="1" w:lastRow="0" w:firstColumn="1" w:lastColumn="0" w:noHBand="0" w:noVBand="1"/>
            </w:tblPr>
            <w:tblGrid>
              <w:gridCol w:w="645"/>
              <w:gridCol w:w="850"/>
              <w:gridCol w:w="822"/>
            </w:tblGrid>
            <w:tr w:rsidR="00111135" w:rsidRPr="003B4517" w:rsidTr="00111135">
              <w:trPr>
                <w:jc w:val="center"/>
              </w:trPr>
              <w:tc>
                <w:tcPr>
                  <w:tcW w:w="645" w:type="dxa"/>
                  <w:shd w:val="clear" w:color="auto" w:fill="auto"/>
                  <w:vAlign w:val="center"/>
                </w:tcPr>
                <w:p w:rsidR="00111135" w:rsidRPr="003B4517" w:rsidRDefault="00111135" w:rsidP="00F80272">
                  <w:pPr>
                    <w:adjustRightInd w:val="0"/>
                    <w:snapToGrid w:val="0"/>
                    <w:spacing w:line="320" w:lineRule="exact"/>
                    <w:ind w:rightChars="-17" w:right="-41"/>
                    <w:jc w:val="center"/>
                    <w:rPr>
                      <w:rFonts w:ascii="標楷體" w:eastAsia="標楷體" w:hAnsi="標楷體"/>
                      <w:szCs w:val="24"/>
                    </w:rPr>
                  </w:pPr>
                </w:p>
              </w:tc>
              <w:tc>
                <w:tcPr>
                  <w:tcW w:w="850" w:type="dxa"/>
                  <w:shd w:val="clear" w:color="auto" w:fill="auto"/>
                  <w:vAlign w:val="center"/>
                </w:tcPr>
                <w:p w:rsidR="00111135" w:rsidRPr="003B4517" w:rsidRDefault="00111135" w:rsidP="00111135">
                  <w:pPr>
                    <w:adjustRightInd w:val="0"/>
                    <w:snapToGrid w:val="0"/>
                    <w:spacing w:line="320" w:lineRule="exact"/>
                    <w:ind w:leftChars="-178" w:left="-427" w:rightChars="-17" w:right="-41" w:firstLineChars="178" w:firstLine="427"/>
                    <w:jc w:val="center"/>
                    <w:rPr>
                      <w:rFonts w:ascii="標楷體" w:eastAsia="標楷體" w:hAnsi="標楷體"/>
                      <w:szCs w:val="24"/>
                    </w:rPr>
                  </w:pPr>
                  <w:r w:rsidRPr="003B4517">
                    <w:rPr>
                      <w:rFonts w:ascii="標楷體" w:eastAsia="標楷體" w:hAnsi="標楷體" w:hint="eastAsia"/>
                      <w:szCs w:val="24"/>
                    </w:rPr>
                    <w:t>107年</w:t>
                  </w:r>
                </w:p>
              </w:tc>
              <w:tc>
                <w:tcPr>
                  <w:tcW w:w="822" w:type="dxa"/>
                  <w:shd w:val="clear" w:color="auto" w:fill="auto"/>
                  <w:vAlign w:val="center"/>
                </w:tcPr>
                <w:p w:rsidR="00111135" w:rsidRPr="003B4517" w:rsidRDefault="00111135" w:rsidP="00F80272">
                  <w:pPr>
                    <w:adjustRightInd w:val="0"/>
                    <w:snapToGrid w:val="0"/>
                    <w:spacing w:line="320" w:lineRule="exact"/>
                    <w:ind w:rightChars="-17" w:right="-41"/>
                    <w:jc w:val="center"/>
                    <w:rPr>
                      <w:rFonts w:ascii="標楷體" w:eastAsia="標楷體" w:hAnsi="標楷體"/>
                      <w:szCs w:val="24"/>
                    </w:rPr>
                  </w:pPr>
                  <w:r w:rsidRPr="003B4517">
                    <w:rPr>
                      <w:rFonts w:ascii="標楷體" w:eastAsia="標楷體" w:hAnsi="標楷體" w:hint="eastAsia"/>
                      <w:szCs w:val="24"/>
                    </w:rPr>
                    <w:t>108年</w:t>
                  </w:r>
                </w:p>
              </w:tc>
            </w:tr>
            <w:tr w:rsidR="00111135" w:rsidRPr="003B4517" w:rsidTr="00111135">
              <w:trPr>
                <w:trHeight w:val="960"/>
                <w:jc w:val="center"/>
              </w:trPr>
              <w:tc>
                <w:tcPr>
                  <w:tcW w:w="645" w:type="dxa"/>
                  <w:shd w:val="clear" w:color="auto" w:fill="auto"/>
                  <w:vAlign w:val="center"/>
                </w:tcPr>
                <w:p w:rsidR="00111135" w:rsidRPr="003B4517" w:rsidRDefault="00111135" w:rsidP="00F80272">
                  <w:pPr>
                    <w:adjustRightInd w:val="0"/>
                    <w:snapToGrid w:val="0"/>
                    <w:ind w:rightChars="-17" w:right="-41"/>
                    <w:jc w:val="center"/>
                    <w:rPr>
                      <w:rFonts w:ascii="標楷體" w:eastAsia="標楷體" w:hAnsi="標楷體"/>
                      <w:szCs w:val="24"/>
                    </w:rPr>
                  </w:pPr>
                  <w:r w:rsidRPr="003B4517">
                    <w:rPr>
                      <w:rFonts w:ascii="標楷體" w:eastAsia="標楷體" w:hAnsi="標楷體" w:hint="eastAsia"/>
                      <w:szCs w:val="24"/>
                    </w:rPr>
                    <w:t>計畫件數</w:t>
                  </w:r>
                </w:p>
              </w:tc>
              <w:tc>
                <w:tcPr>
                  <w:tcW w:w="850" w:type="dxa"/>
                  <w:shd w:val="clear" w:color="auto" w:fill="auto"/>
                  <w:vAlign w:val="center"/>
                </w:tcPr>
                <w:p w:rsidR="00111135" w:rsidRPr="003B4517" w:rsidRDefault="00111135" w:rsidP="00F80272">
                  <w:pPr>
                    <w:adjustRightInd w:val="0"/>
                    <w:snapToGrid w:val="0"/>
                    <w:spacing w:line="320" w:lineRule="exact"/>
                    <w:ind w:rightChars="-17" w:right="-41"/>
                    <w:jc w:val="center"/>
                    <w:rPr>
                      <w:rFonts w:ascii="標楷體" w:eastAsia="標楷體" w:hAnsi="標楷體"/>
                      <w:szCs w:val="24"/>
                    </w:rPr>
                  </w:pPr>
                  <w:r w:rsidRPr="003B4517">
                    <w:rPr>
                      <w:rFonts w:ascii="標楷體" w:eastAsia="標楷體" w:hAnsi="標楷體" w:hint="eastAsia"/>
                      <w:szCs w:val="24"/>
                    </w:rPr>
                    <w:t>48</w:t>
                  </w:r>
                </w:p>
              </w:tc>
              <w:tc>
                <w:tcPr>
                  <w:tcW w:w="822" w:type="dxa"/>
                  <w:shd w:val="clear" w:color="auto" w:fill="auto"/>
                  <w:vAlign w:val="center"/>
                </w:tcPr>
                <w:p w:rsidR="00111135" w:rsidRPr="003B4517" w:rsidRDefault="00111135" w:rsidP="00F80272">
                  <w:pPr>
                    <w:adjustRightInd w:val="0"/>
                    <w:snapToGrid w:val="0"/>
                    <w:spacing w:line="320" w:lineRule="exact"/>
                    <w:ind w:rightChars="-17" w:right="-41"/>
                    <w:jc w:val="center"/>
                    <w:rPr>
                      <w:rFonts w:ascii="標楷體" w:eastAsia="標楷體" w:hAnsi="標楷體"/>
                      <w:szCs w:val="24"/>
                    </w:rPr>
                  </w:pPr>
                  <w:r w:rsidRPr="003B4517">
                    <w:rPr>
                      <w:rFonts w:ascii="標楷體" w:eastAsia="標楷體" w:hAnsi="標楷體" w:hint="eastAsia"/>
                      <w:szCs w:val="24"/>
                    </w:rPr>
                    <w:t>50</w:t>
                  </w:r>
                </w:p>
              </w:tc>
            </w:tr>
            <w:tr w:rsidR="00111135" w:rsidRPr="003B4517" w:rsidTr="00111135">
              <w:trPr>
                <w:trHeight w:val="960"/>
                <w:jc w:val="center"/>
              </w:trPr>
              <w:tc>
                <w:tcPr>
                  <w:tcW w:w="645" w:type="dxa"/>
                  <w:shd w:val="clear" w:color="auto" w:fill="auto"/>
                  <w:vAlign w:val="center"/>
                </w:tcPr>
                <w:p w:rsidR="00111135" w:rsidRPr="003B4517" w:rsidRDefault="00111135" w:rsidP="00F80272">
                  <w:pPr>
                    <w:adjustRightInd w:val="0"/>
                    <w:snapToGrid w:val="0"/>
                    <w:ind w:rightChars="-17" w:right="-41"/>
                    <w:jc w:val="center"/>
                    <w:rPr>
                      <w:rFonts w:ascii="標楷體" w:eastAsia="標楷體" w:hAnsi="標楷體"/>
                      <w:szCs w:val="24"/>
                    </w:rPr>
                  </w:pPr>
                  <w:r w:rsidRPr="003B4517">
                    <w:rPr>
                      <w:rFonts w:ascii="標楷體" w:eastAsia="標楷體" w:hAnsi="標楷體" w:hint="eastAsia"/>
                      <w:szCs w:val="24"/>
                    </w:rPr>
                    <w:t>執行總經費</w:t>
                  </w:r>
                </w:p>
              </w:tc>
              <w:tc>
                <w:tcPr>
                  <w:tcW w:w="850" w:type="dxa"/>
                  <w:shd w:val="clear" w:color="auto" w:fill="auto"/>
                  <w:vAlign w:val="center"/>
                </w:tcPr>
                <w:p w:rsidR="00111135" w:rsidRPr="003B4517" w:rsidRDefault="00111135" w:rsidP="00F80272">
                  <w:pPr>
                    <w:adjustRightInd w:val="0"/>
                    <w:snapToGrid w:val="0"/>
                    <w:spacing w:line="320" w:lineRule="exact"/>
                    <w:ind w:rightChars="-17" w:right="-41"/>
                    <w:jc w:val="center"/>
                    <w:rPr>
                      <w:rFonts w:ascii="標楷體" w:eastAsia="標楷體" w:hAnsi="標楷體"/>
                      <w:szCs w:val="24"/>
                    </w:rPr>
                  </w:pPr>
                  <w:r w:rsidRPr="003B4517">
                    <w:rPr>
                      <w:rFonts w:ascii="標楷體" w:eastAsia="標楷體" w:hAnsi="標楷體" w:hint="eastAsia"/>
                      <w:szCs w:val="24"/>
                    </w:rPr>
                    <w:t>70,600,582</w:t>
                  </w:r>
                </w:p>
              </w:tc>
              <w:tc>
                <w:tcPr>
                  <w:tcW w:w="822" w:type="dxa"/>
                  <w:shd w:val="clear" w:color="auto" w:fill="auto"/>
                  <w:vAlign w:val="center"/>
                </w:tcPr>
                <w:p w:rsidR="00111135" w:rsidRPr="003B4517" w:rsidRDefault="00111135" w:rsidP="00F80272">
                  <w:pPr>
                    <w:adjustRightInd w:val="0"/>
                    <w:snapToGrid w:val="0"/>
                    <w:spacing w:line="320" w:lineRule="exact"/>
                    <w:ind w:rightChars="-17" w:right="-41"/>
                    <w:jc w:val="center"/>
                    <w:rPr>
                      <w:rFonts w:ascii="標楷體" w:eastAsia="標楷體" w:hAnsi="標楷體"/>
                      <w:szCs w:val="24"/>
                    </w:rPr>
                  </w:pPr>
                  <w:r w:rsidRPr="003B4517">
                    <w:rPr>
                      <w:rFonts w:ascii="標楷體" w:eastAsia="標楷體" w:hAnsi="標楷體" w:hint="eastAsia"/>
                      <w:szCs w:val="24"/>
                    </w:rPr>
                    <w:t>81,581,259</w:t>
                  </w:r>
                </w:p>
              </w:tc>
            </w:tr>
            <w:tr w:rsidR="00111135" w:rsidRPr="003B4517" w:rsidTr="00111135">
              <w:trPr>
                <w:trHeight w:val="4368"/>
                <w:jc w:val="center"/>
              </w:trPr>
              <w:tc>
                <w:tcPr>
                  <w:tcW w:w="645" w:type="dxa"/>
                  <w:shd w:val="clear" w:color="auto" w:fill="auto"/>
                  <w:vAlign w:val="center"/>
                </w:tcPr>
                <w:p w:rsidR="00111135" w:rsidRPr="003B4517" w:rsidRDefault="00111135" w:rsidP="00F80272">
                  <w:pPr>
                    <w:adjustRightInd w:val="0"/>
                    <w:snapToGrid w:val="0"/>
                    <w:spacing w:line="320" w:lineRule="exact"/>
                    <w:ind w:rightChars="-17" w:right="-41"/>
                    <w:jc w:val="center"/>
                    <w:rPr>
                      <w:rFonts w:ascii="標楷體" w:eastAsia="標楷體" w:hAnsi="標楷體"/>
                      <w:szCs w:val="24"/>
                    </w:rPr>
                  </w:pPr>
                  <w:proofErr w:type="gramStart"/>
                  <w:r w:rsidRPr="003B4517">
                    <w:rPr>
                      <w:rFonts w:ascii="標楷體" w:eastAsia="標楷體" w:hAnsi="標楷體" w:hint="eastAsia"/>
                      <w:szCs w:val="24"/>
                    </w:rPr>
                    <w:t>跨域合作</w:t>
                  </w:r>
                  <w:proofErr w:type="gramEnd"/>
                </w:p>
              </w:tc>
              <w:tc>
                <w:tcPr>
                  <w:tcW w:w="850" w:type="dxa"/>
                  <w:shd w:val="clear" w:color="auto" w:fill="auto"/>
                </w:tcPr>
                <w:p w:rsidR="00111135" w:rsidRPr="003B4517" w:rsidRDefault="00111135" w:rsidP="00F80272">
                  <w:pPr>
                    <w:adjustRightInd w:val="0"/>
                    <w:snapToGrid w:val="0"/>
                    <w:spacing w:line="320" w:lineRule="exact"/>
                    <w:ind w:rightChars="-17" w:right="-41"/>
                    <w:jc w:val="both"/>
                    <w:rPr>
                      <w:rFonts w:ascii="標楷體" w:eastAsia="標楷體" w:hAnsi="標楷體"/>
                      <w:szCs w:val="24"/>
                    </w:rPr>
                  </w:pPr>
                  <w:r w:rsidRPr="003B4517">
                    <w:rPr>
                      <w:rFonts w:ascii="標楷體" w:eastAsia="標楷體" w:hAnsi="標楷體" w:hint="eastAsia"/>
                      <w:szCs w:val="24"/>
                    </w:rPr>
                    <w:t>(1)3件與學校單位合作（成功大學、陽明大學及台灣大學）。</w:t>
                  </w:r>
                </w:p>
                <w:p w:rsidR="00111135" w:rsidRPr="003B4517" w:rsidRDefault="00111135" w:rsidP="00F80272">
                  <w:pPr>
                    <w:adjustRightInd w:val="0"/>
                    <w:snapToGrid w:val="0"/>
                    <w:spacing w:line="320" w:lineRule="exact"/>
                    <w:ind w:rightChars="-17" w:right="-41"/>
                    <w:jc w:val="both"/>
                    <w:rPr>
                      <w:rFonts w:ascii="標楷體" w:eastAsia="標楷體" w:hAnsi="標楷體"/>
                      <w:szCs w:val="24"/>
                    </w:rPr>
                  </w:pPr>
                  <w:r w:rsidRPr="003B4517">
                    <w:rPr>
                      <w:rFonts w:ascii="標楷體" w:eastAsia="標楷體" w:hAnsi="標楷體" w:hint="eastAsia"/>
                      <w:szCs w:val="24"/>
                    </w:rPr>
                    <w:t>(2)9件合作案中，與8處政府其他部會及本校保育類野生動物收容中心合作。</w:t>
                  </w:r>
                </w:p>
              </w:tc>
              <w:tc>
                <w:tcPr>
                  <w:tcW w:w="822" w:type="dxa"/>
                  <w:shd w:val="clear" w:color="auto" w:fill="auto"/>
                </w:tcPr>
                <w:p w:rsidR="00111135" w:rsidRPr="003B4517" w:rsidRDefault="00111135" w:rsidP="00F80272">
                  <w:pPr>
                    <w:adjustRightInd w:val="0"/>
                    <w:snapToGrid w:val="0"/>
                    <w:spacing w:line="320" w:lineRule="exact"/>
                    <w:ind w:rightChars="-17" w:right="-41"/>
                    <w:jc w:val="both"/>
                    <w:rPr>
                      <w:rFonts w:ascii="標楷體" w:eastAsia="標楷體" w:hAnsi="標楷體"/>
                      <w:szCs w:val="24"/>
                    </w:rPr>
                  </w:pPr>
                  <w:r w:rsidRPr="003B4517">
                    <w:rPr>
                      <w:rFonts w:ascii="標楷體" w:eastAsia="標楷體" w:hAnsi="標楷體" w:hint="eastAsia"/>
                      <w:szCs w:val="24"/>
                    </w:rPr>
                    <w:t>(1)2件與民間企業合作(光宇工程</w:t>
                  </w:r>
                  <w:proofErr w:type="gramStart"/>
                  <w:r w:rsidRPr="003B4517">
                    <w:rPr>
                      <w:rFonts w:ascii="標楷體" w:eastAsia="標楷體" w:hAnsi="標楷體" w:hint="eastAsia"/>
                      <w:szCs w:val="24"/>
                    </w:rPr>
                    <w:t>顧問服份有限公司及合美工程</w:t>
                  </w:r>
                  <w:proofErr w:type="gramEnd"/>
                  <w:r w:rsidRPr="003B4517">
                    <w:rPr>
                      <w:rFonts w:ascii="標楷體" w:eastAsia="標楷體" w:hAnsi="標楷體" w:hint="eastAsia"/>
                      <w:szCs w:val="24"/>
                    </w:rPr>
                    <w:t>服務有限公司)。</w:t>
                  </w:r>
                </w:p>
                <w:p w:rsidR="00111135" w:rsidRPr="003B4517" w:rsidRDefault="00111135" w:rsidP="00F80272">
                  <w:pPr>
                    <w:adjustRightInd w:val="0"/>
                    <w:snapToGrid w:val="0"/>
                    <w:spacing w:line="320" w:lineRule="exact"/>
                    <w:ind w:rightChars="-17" w:right="-41"/>
                    <w:jc w:val="both"/>
                    <w:rPr>
                      <w:rFonts w:ascii="標楷體" w:eastAsia="標楷體" w:hAnsi="標楷體"/>
                      <w:szCs w:val="24"/>
                    </w:rPr>
                  </w:pPr>
                  <w:r w:rsidRPr="003B4517">
                    <w:rPr>
                      <w:rFonts w:ascii="標楷體" w:eastAsia="標楷體" w:hAnsi="標楷體" w:hint="eastAsia"/>
                      <w:szCs w:val="24"/>
                    </w:rPr>
                    <w:t>(2)14件合作案中，與9處政府其他部會及本校保育類野生動物收容中心合作。</w:t>
                  </w:r>
                </w:p>
              </w:tc>
            </w:tr>
          </w:tbl>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109年4月28日孫元勳教授及其團隊榮獲「2020第一屆遠見雜誌USR大學社會責任獎-生態</w:t>
            </w:r>
            <w:proofErr w:type="gramStart"/>
            <w:r w:rsidRPr="00F80272">
              <w:rPr>
                <w:rFonts w:ascii="標楷體" w:eastAsia="標楷體" w:hAnsi="標楷體" w:hint="eastAsia"/>
                <w:szCs w:val="24"/>
              </w:rPr>
              <w:t>共好組</w:t>
            </w:r>
            <w:proofErr w:type="gramEnd"/>
            <w:r w:rsidRPr="00F80272">
              <w:rPr>
                <w:rFonts w:ascii="標楷體" w:eastAsia="標楷體" w:hAnsi="標楷體" w:hint="eastAsia"/>
                <w:szCs w:val="24"/>
              </w:rPr>
              <w:t>楷模獎」，大學落實社會實踐行動方案，回饋社區。</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持續加強與產業鏈結，積極</w:t>
            </w:r>
            <w:proofErr w:type="gramStart"/>
            <w:r w:rsidRPr="00F80272">
              <w:rPr>
                <w:rFonts w:ascii="標楷體" w:eastAsia="標楷體" w:hAnsi="標楷體" w:hint="eastAsia"/>
                <w:szCs w:val="24"/>
              </w:rPr>
              <w:t>與禽病、豬病</w:t>
            </w:r>
            <w:proofErr w:type="gramEnd"/>
            <w:r w:rsidRPr="00F80272">
              <w:rPr>
                <w:rFonts w:ascii="標楷體" w:eastAsia="標楷體" w:hAnsi="標楷體" w:hint="eastAsia"/>
                <w:szCs w:val="24"/>
              </w:rPr>
              <w:t>、大動物、小動物、水生動物及野生動物等相關產業進行產學合作並培育相關專科獸醫師及野生動物保育專業人才。</w:t>
            </w:r>
            <w:proofErr w:type="gramStart"/>
            <w:r w:rsidR="00042D57">
              <w:rPr>
                <w:rFonts w:ascii="標楷體" w:eastAsia="標楷體" w:hAnsi="標楷體" w:hint="eastAsia"/>
                <w:sz w:val="28"/>
                <w:szCs w:val="28"/>
                <w:highlight w:val="yellow"/>
              </w:rPr>
              <w:t>【</w:t>
            </w:r>
            <w:proofErr w:type="gramEnd"/>
            <w:r w:rsidR="00042D57">
              <w:rPr>
                <w:rFonts w:ascii="標楷體" w:eastAsia="標楷體" w:hAnsi="標楷體" w:hint="eastAsia"/>
                <w:sz w:val="28"/>
                <w:szCs w:val="28"/>
                <w:highlight w:val="yellow"/>
              </w:rPr>
              <w:t>野保所</w:t>
            </w:r>
            <w:r w:rsidR="00707A94">
              <w:rPr>
                <w:rFonts w:ascii="標楷體" w:eastAsia="標楷體" w:hAnsi="標楷體" w:hint="eastAsia"/>
                <w:sz w:val="28"/>
                <w:szCs w:val="28"/>
                <w:highlight w:val="yellow"/>
              </w:rPr>
              <w:t>提供</w:t>
            </w:r>
            <w:r w:rsidR="00115BB2">
              <w:rPr>
                <w:rFonts w:ascii="標楷體" w:eastAsia="標楷體" w:hAnsi="標楷體" w:hint="eastAsia"/>
                <w:sz w:val="28"/>
                <w:szCs w:val="28"/>
                <w:highlight w:val="yellow"/>
              </w:rPr>
              <w:t>黃美秀老師得獎</w:t>
            </w:r>
            <w:r w:rsidR="00707A94">
              <w:rPr>
                <w:rFonts w:ascii="標楷體" w:eastAsia="標楷體" w:hAnsi="標楷體" w:hint="eastAsia"/>
                <w:sz w:val="28"/>
                <w:szCs w:val="28"/>
                <w:highlight w:val="yellow"/>
              </w:rPr>
              <w:t>資料</w:t>
            </w:r>
            <w:r w:rsidR="00F36CDA">
              <w:rPr>
                <w:rFonts w:ascii="標楷體" w:eastAsia="標楷體" w:hAnsi="標楷體" w:hint="eastAsia"/>
                <w:sz w:val="28"/>
                <w:szCs w:val="28"/>
                <w:highlight w:val="yellow"/>
              </w:rPr>
              <w:t>，產學計畫數:獸醫學院提供，專科獸醫師:獸醫系提供。</w:t>
            </w:r>
            <w:r w:rsidR="00707A94">
              <w:rPr>
                <w:rFonts w:ascii="標楷體" w:eastAsia="標楷體" w:hAnsi="標楷體" w:hint="eastAsia"/>
                <w:sz w:val="28"/>
                <w:szCs w:val="28"/>
                <w:highlight w:val="yellow"/>
              </w:rPr>
              <w:t>】</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4.動物疫苗科技研究所持續並積極與瑞寶基因公司、維克生技公司等企業，進行技術移轉及產學合作相關計劃。</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持續推動與簽約之MOU公司進行產學合作教育訓練。</w:t>
            </w:r>
            <w:r w:rsidR="008E23A5">
              <w:rPr>
                <w:rFonts w:ascii="標楷體" w:eastAsia="標楷體" w:hAnsi="標楷體" w:hint="eastAsia"/>
                <w:sz w:val="28"/>
                <w:szCs w:val="28"/>
                <w:highlight w:val="yellow"/>
              </w:rPr>
              <w:t>【疫苗所</w:t>
            </w:r>
            <w:r w:rsidR="00707A94">
              <w:rPr>
                <w:rFonts w:ascii="標楷體" w:eastAsia="標楷體" w:hAnsi="標楷體" w:hint="eastAsia"/>
                <w:sz w:val="28"/>
                <w:szCs w:val="28"/>
                <w:highlight w:val="yellow"/>
              </w:rPr>
              <w:t>提供資料】</w:t>
            </w:r>
          </w:p>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r w:rsidRPr="00F80272">
              <w:rPr>
                <w:rFonts w:ascii="標楷體" w:eastAsia="標楷體" w:hAnsi="標楷體" w:hint="eastAsia"/>
                <w:szCs w:val="24"/>
              </w:rPr>
              <w:t>5.目前獸醫教學醫院有兩個主要產學計畫:一是與高雄觀光局壽山動物園簽訂產學計畫，</w:t>
            </w:r>
            <w:proofErr w:type="gramStart"/>
            <w:r w:rsidRPr="00F80272">
              <w:rPr>
                <w:rFonts w:ascii="標楷體" w:eastAsia="標楷體" w:hAnsi="標楷體" w:hint="eastAsia"/>
                <w:szCs w:val="24"/>
              </w:rPr>
              <w:t>108</w:t>
            </w:r>
            <w:proofErr w:type="gramEnd"/>
            <w:r w:rsidRPr="00F80272">
              <w:rPr>
                <w:rFonts w:ascii="標楷體" w:eastAsia="標楷體" w:hAnsi="標楷體" w:hint="eastAsia"/>
                <w:szCs w:val="24"/>
              </w:rPr>
              <w:t>年度有5隻動物送至本院進行CT與手術診療，本校獸醫系大五輪</w:t>
            </w:r>
            <w:proofErr w:type="gramStart"/>
            <w:r w:rsidRPr="00F80272">
              <w:rPr>
                <w:rFonts w:ascii="標楷體" w:eastAsia="標楷體" w:hAnsi="標楷體" w:hint="eastAsia"/>
                <w:szCs w:val="24"/>
              </w:rPr>
              <w:t>診</w:t>
            </w:r>
            <w:proofErr w:type="gramEnd"/>
            <w:r w:rsidRPr="00F80272">
              <w:rPr>
                <w:rFonts w:ascii="標楷體" w:eastAsia="標楷體" w:hAnsi="標楷體" w:hint="eastAsia"/>
                <w:szCs w:val="24"/>
              </w:rPr>
              <w:t>實習與小動物研究室，每次約10-15名學生共同參與，有助學生對於野生動物相關知能的增進與臨床診療經驗的提升；另一為</w:t>
            </w:r>
            <w:proofErr w:type="gramStart"/>
            <w:r w:rsidRPr="00F80272">
              <w:rPr>
                <w:rFonts w:ascii="標楷體" w:eastAsia="標楷體" w:hAnsi="標楷體" w:hint="eastAsia"/>
                <w:szCs w:val="24"/>
              </w:rPr>
              <w:t>與奧登堡</w:t>
            </w:r>
            <w:proofErr w:type="gramEnd"/>
            <w:r w:rsidRPr="00F80272">
              <w:rPr>
                <w:rFonts w:ascii="標楷體" w:eastAsia="標楷體" w:hAnsi="標楷體" w:hint="eastAsia"/>
                <w:szCs w:val="24"/>
              </w:rPr>
              <w:t>公司簽訂馬匹健康維護相關產學計畫，每月出診一次，由大動物老師帶領2-3位研究生參與，有助提升學生對馬匹健康照護及疾病控制能力。</w:t>
            </w:r>
            <w:r w:rsidR="00F366E2">
              <w:rPr>
                <w:rFonts w:ascii="標楷體" w:eastAsia="標楷體" w:hAnsi="標楷體" w:hint="eastAsia"/>
                <w:sz w:val="28"/>
                <w:szCs w:val="28"/>
                <w:highlight w:val="yellow"/>
              </w:rPr>
              <w:t>【獸醫教學醫院</w:t>
            </w:r>
            <w:r w:rsidR="00707A94">
              <w:rPr>
                <w:rFonts w:ascii="標楷體" w:eastAsia="標楷體" w:hAnsi="標楷體" w:hint="eastAsia"/>
                <w:sz w:val="28"/>
                <w:szCs w:val="28"/>
                <w:highlight w:val="yellow"/>
              </w:rPr>
              <w:t>提供資料】</w:t>
            </w:r>
          </w:p>
          <w:p w:rsidR="00111135" w:rsidRPr="00EC3510" w:rsidRDefault="00111135" w:rsidP="002F43AB">
            <w:pPr>
              <w:spacing w:line="380" w:lineRule="exact"/>
              <w:ind w:leftChars="-25" w:left="173" w:rightChars="-17" w:right="-41" w:hangingChars="97" w:hanging="233"/>
              <w:jc w:val="both"/>
              <w:rPr>
                <w:rFonts w:ascii="標楷體" w:eastAsia="標楷體" w:hAnsi="標楷體"/>
                <w:sz w:val="28"/>
                <w:szCs w:val="28"/>
              </w:rPr>
            </w:pPr>
            <w:r w:rsidRPr="00F80272">
              <w:rPr>
                <w:rFonts w:ascii="標楷體" w:eastAsia="標楷體" w:hAnsi="標楷體" w:hint="eastAsia"/>
                <w:szCs w:val="24"/>
              </w:rPr>
              <w:t>6.學院強化各相關團隊鏈結，提供學生更優良的研究與學習環境。</w:t>
            </w:r>
            <w:r w:rsidR="00662718">
              <w:rPr>
                <w:rFonts w:ascii="標楷體" w:eastAsia="標楷體" w:hAnsi="標楷體" w:hint="eastAsia"/>
                <w:sz w:val="28"/>
                <w:szCs w:val="28"/>
                <w:highlight w:val="yellow"/>
              </w:rPr>
              <w:t>【獸醫系</w:t>
            </w:r>
            <w:r w:rsidR="002F43AB">
              <w:rPr>
                <w:rFonts w:ascii="標楷體" w:eastAsia="標楷體" w:hAnsi="標楷體" w:hint="eastAsia"/>
                <w:sz w:val="28"/>
                <w:szCs w:val="28"/>
                <w:highlight w:val="yellow"/>
              </w:rPr>
              <w:t>二樓新設空間照片與系學會照片</w:t>
            </w:r>
            <w:r w:rsidR="00EA5BF1">
              <w:rPr>
                <w:rFonts w:ascii="標楷體" w:eastAsia="標楷體" w:hAnsi="標楷體" w:hint="eastAsia"/>
                <w:sz w:val="28"/>
                <w:szCs w:val="28"/>
                <w:highlight w:val="yellow"/>
              </w:rPr>
              <w:t>】</w:t>
            </w:r>
          </w:p>
        </w:tc>
        <w:tc>
          <w:tcPr>
            <w:tcW w:w="2730" w:type="dxa"/>
          </w:tcPr>
          <w:p w:rsidR="00111135" w:rsidRPr="00F80272" w:rsidRDefault="00111135" w:rsidP="00F80272">
            <w:pPr>
              <w:spacing w:line="380" w:lineRule="exact"/>
              <w:ind w:leftChars="-25" w:left="173" w:rightChars="-17" w:right="-41" w:hangingChars="97" w:hanging="233"/>
              <w:jc w:val="both"/>
              <w:rPr>
                <w:rFonts w:ascii="標楷體" w:eastAsia="標楷體" w:hAnsi="標楷體"/>
                <w:szCs w:val="24"/>
              </w:rPr>
            </w:pPr>
          </w:p>
        </w:tc>
      </w:tr>
    </w:tbl>
    <w:p w:rsidR="0045277C" w:rsidRPr="00FD0DD4" w:rsidRDefault="0045277C" w:rsidP="00111135">
      <w:pPr>
        <w:spacing w:beforeLines="50" w:before="180"/>
        <w:ind w:rightChars="-319" w:right="-766"/>
        <w:jc w:val="right"/>
        <w:rPr>
          <w:rFonts w:ascii="標楷體" w:eastAsia="標楷體" w:hAnsi="標楷體"/>
          <w:b/>
          <w:sz w:val="28"/>
          <w:szCs w:val="28"/>
        </w:rPr>
      </w:pPr>
    </w:p>
    <w:sectPr w:rsidR="0045277C" w:rsidRPr="00FD0DD4" w:rsidSect="002F0998">
      <w:pgSz w:w="11906" w:h="16838" w:code="9"/>
      <w:pgMar w:top="1418"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A9" w:rsidRDefault="008519A9" w:rsidP="00F80272">
      <w:r>
        <w:separator/>
      </w:r>
    </w:p>
  </w:endnote>
  <w:endnote w:type="continuationSeparator" w:id="0">
    <w:p w:rsidR="008519A9" w:rsidRDefault="008519A9" w:rsidP="00F8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A9" w:rsidRDefault="008519A9" w:rsidP="00F80272">
      <w:r>
        <w:separator/>
      </w:r>
    </w:p>
  </w:footnote>
  <w:footnote w:type="continuationSeparator" w:id="0">
    <w:p w:rsidR="008519A9" w:rsidRDefault="008519A9" w:rsidP="00F80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02B"/>
    <w:multiLevelType w:val="hybridMultilevel"/>
    <w:tmpl w:val="1B68BC10"/>
    <w:lvl w:ilvl="0" w:tplc="D4E26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691896"/>
    <w:multiLevelType w:val="hybridMultilevel"/>
    <w:tmpl w:val="AE185E7E"/>
    <w:lvl w:ilvl="0" w:tplc="AECA0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45743A"/>
    <w:multiLevelType w:val="hybridMultilevel"/>
    <w:tmpl w:val="139C929E"/>
    <w:lvl w:ilvl="0" w:tplc="6F4E5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D51ED6"/>
    <w:multiLevelType w:val="hybridMultilevel"/>
    <w:tmpl w:val="ACBC4672"/>
    <w:lvl w:ilvl="0" w:tplc="51F6E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EA2406"/>
    <w:multiLevelType w:val="hybridMultilevel"/>
    <w:tmpl w:val="3AD42208"/>
    <w:lvl w:ilvl="0" w:tplc="F3F25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173D95"/>
    <w:multiLevelType w:val="hybridMultilevel"/>
    <w:tmpl w:val="E056FF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8953527"/>
    <w:multiLevelType w:val="hybridMultilevel"/>
    <w:tmpl w:val="40B4CA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7C"/>
    <w:rsid w:val="00020CB6"/>
    <w:rsid w:val="00042D57"/>
    <w:rsid w:val="000D1AC6"/>
    <w:rsid w:val="000F4626"/>
    <w:rsid w:val="00107D9E"/>
    <w:rsid w:val="00111135"/>
    <w:rsid w:val="00115BB2"/>
    <w:rsid w:val="00154E6D"/>
    <w:rsid w:val="00155066"/>
    <w:rsid w:val="00166330"/>
    <w:rsid w:val="00167BE1"/>
    <w:rsid w:val="0017062E"/>
    <w:rsid w:val="001777F8"/>
    <w:rsid w:val="0018073C"/>
    <w:rsid w:val="001F3B5B"/>
    <w:rsid w:val="00240B2D"/>
    <w:rsid w:val="00261ED2"/>
    <w:rsid w:val="0028719B"/>
    <w:rsid w:val="002A0F59"/>
    <w:rsid w:val="002B7E84"/>
    <w:rsid w:val="002C45AC"/>
    <w:rsid w:val="002C7CEA"/>
    <w:rsid w:val="002D7CA7"/>
    <w:rsid w:val="002F0998"/>
    <w:rsid w:val="002F43AB"/>
    <w:rsid w:val="00303579"/>
    <w:rsid w:val="00317988"/>
    <w:rsid w:val="00324879"/>
    <w:rsid w:val="00331846"/>
    <w:rsid w:val="00376098"/>
    <w:rsid w:val="00380340"/>
    <w:rsid w:val="003A5630"/>
    <w:rsid w:val="004200F2"/>
    <w:rsid w:val="0045277C"/>
    <w:rsid w:val="00467456"/>
    <w:rsid w:val="004819CC"/>
    <w:rsid w:val="00494A19"/>
    <w:rsid w:val="004A5FF1"/>
    <w:rsid w:val="004D2627"/>
    <w:rsid w:val="004E2FFA"/>
    <w:rsid w:val="004F696F"/>
    <w:rsid w:val="005560A5"/>
    <w:rsid w:val="0056414D"/>
    <w:rsid w:val="005936A3"/>
    <w:rsid w:val="005A7AB3"/>
    <w:rsid w:val="005D4984"/>
    <w:rsid w:val="005F55D8"/>
    <w:rsid w:val="006076A2"/>
    <w:rsid w:val="006162FA"/>
    <w:rsid w:val="006178D1"/>
    <w:rsid w:val="00662718"/>
    <w:rsid w:val="0067666A"/>
    <w:rsid w:val="006A633E"/>
    <w:rsid w:val="006C7287"/>
    <w:rsid w:val="006E2C30"/>
    <w:rsid w:val="00707A94"/>
    <w:rsid w:val="00736A92"/>
    <w:rsid w:val="00752601"/>
    <w:rsid w:val="007827C7"/>
    <w:rsid w:val="007B2264"/>
    <w:rsid w:val="007D3F75"/>
    <w:rsid w:val="00841470"/>
    <w:rsid w:val="008519A9"/>
    <w:rsid w:val="0089277A"/>
    <w:rsid w:val="008C0E3C"/>
    <w:rsid w:val="008D1027"/>
    <w:rsid w:val="008D470F"/>
    <w:rsid w:val="008E17D6"/>
    <w:rsid w:val="008E23A5"/>
    <w:rsid w:val="00964FEA"/>
    <w:rsid w:val="009654F6"/>
    <w:rsid w:val="009906A4"/>
    <w:rsid w:val="00A00700"/>
    <w:rsid w:val="00A93E2F"/>
    <w:rsid w:val="00AC2BF8"/>
    <w:rsid w:val="00AE380E"/>
    <w:rsid w:val="00B90F7C"/>
    <w:rsid w:val="00BA19DC"/>
    <w:rsid w:val="00BA295D"/>
    <w:rsid w:val="00BB100C"/>
    <w:rsid w:val="00BF234C"/>
    <w:rsid w:val="00C47697"/>
    <w:rsid w:val="00C629B2"/>
    <w:rsid w:val="00C92A27"/>
    <w:rsid w:val="00CD78D7"/>
    <w:rsid w:val="00CF764F"/>
    <w:rsid w:val="00D2060F"/>
    <w:rsid w:val="00D26425"/>
    <w:rsid w:val="00D3044D"/>
    <w:rsid w:val="00D31130"/>
    <w:rsid w:val="00D40266"/>
    <w:rsid w:val="00D90E82"/>
    <w:rsid w:val="00DA2D71"/>
    <w:rsid w:val="00DB4B90"/>
    <w:rsid w:val="00E436E9"/>
    <w:rsid w:val="00EA5BF1"/>
    <w:rsid w:val="00EC10F8"/>
    <w:rsid w:val="00ED05D9"/>
    <w:rsid w:val="00ED7A3E"/>
    <w:rsid w:val="00EE443D"/>
    <w:rsid w:val="00EE4B70"/>
    <w:rsid w:val="00EE6FF9"/>
    <w:rsid w:val="00F366E2"/>
    <w:rsid w:val="00F36CDA"/>
    <w:rsid w:val="00F44939"/>
    <w:rsid w:val="00F73227"/>
    <w:rsid w:val="00F80272"/>
    <w:rsid w:val="00F90438"/>
    <w:rsid w:val="00FA2CB0"/>
    <w:rsid w:val="00FB273F"/>
    <w:rsid w:val="00FB48EA"/>
    <w:rsid w:val="00FD0DD4"/>
    <w:rsid w:val="00FF71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77C"/>
    <w:pPr>
      <w:ind w:leftChars="200" w:left="480"/>
    </w:pPr>
  </w:style>
  <w:style w:type="paragraph" w:styleId="a4">
    <w:name w:val="header"/>
    <w:basedOn w:val="a"/>
    <w:link w:val="a5"/>
    <w:uiPriority w:val="99"/>
    <w:unhideWhenUsed/>
    <w:rsid w:val="00F80272"/>
    <w:pPr>
      <w:tabs>
        <w:tab w:val="center" w:pos="4153"/>
        <w:tab w:val="right" w:pos="8306"/>
      </w:tabs>
      <w:snapToGrid w:val="0"/>
    </w:pPr>
    <w:rPr>
      <w:sz w:val="20"/>
      <w:szCs w:val="20"/>
    </w:rPr>
  </w:style>
  <w:style w:type="character" w:customStyle="1" w:styleId="a5">
    <w:name w:val="頁首 字元"/>
    <w:basedOn w:val="a0"/>
    <w:link w:val="a4"/>
    <w:uiPriority w:val="99"/>
    <w:rsid w:val="00F80272"/>
    <w:rPr>
      <w:sz w:val="20"/>
      <w:szCs w:val="20"/>
    </w:rPr>
  </w:style>
  <w:style w:type="paragraph" w:styleId="a6">
    <w:name w:val="footer"/>
    <w:basedOn w:val="a"/>
    <w:link w:val="a7"/>
    <w:uiPriority w:val="99"/>
    <w:unhideWhenUsed/>
    <w:rsid w:val="00F80272"/>
    <w:pPr>
      <w:tabs>
        <w:tab w:val="center" w:pos="4153"/>
        <w:tab w:val="right" w:pos="8306"/>
      </w:tabs>
      <w:snapToGrid w:val="0"/>
    </w:pPr>
    <w:rPr>
      <w:sz w:val="20"/>
      <w:szCs w:val="20"/>
    </w:rPr>
  </w:style>
  <w:style w:type="character" w:customStyle="1" w:styleId="a7">
    <w:name w:val="頁尾 字元"/>
    <w:basedOn w:val="a0"/>
    <w:link w:val="a6"/>
    <w:uiPriority w:val="99"/>
    <w:rsid w:val="00F80272"/>
    <w:rPr>
      <w:sz w:val="20"/>
      <w:szCs w:val="20"/>
    </w:rPr>
  </w:style>
  <w:style w:type="table" w:styleId="a8">
    <w:name w:val="Table Grid"/>
    <w:basedOn w:val="a1"/>
    <w:uiPriority w:val="59"/>
    <w:rsid w:val="00F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443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44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77C"/>
    <w:pPr>
      <w:ind w:leftChars="200" w:left="480"/>
    </w:pPr>
  </w:style>
  <w:style w:type="paragraph" w:styleId="a4">
    <w:name w:val="header"/>
    <w:basedOn w:val="a"/>
    <w:link w:val="a5"/>
    <w:uiPriority w:val="99"/>
    <w:unhideWhenUsed/>
    <w:rsid w:val="00F80272"/>
    <w:pPr>
      <w:tabs>
        <w:tab w:val="center" w:pos="4153"/>
        <w:tab w:val="right" w:pos="8306"/>
      </w:tabs>
      <w:snapToGrid w:val="0"/>
    </w:pPr>
    <w:rPr>
      <w:sz w:val="20"/>
      <w:szCs w:val="20"/>
    </w:rPr>
  </w:style>
  <w:style w:type="character" w:customStyle="1" w:styleId="a5">
    <w:name w:val="頁首 字元"/>
    <w:basedOn w:val="a0"/>
    <w:link w:val="a4"/>
    <w:uiPriority w:val="99"/>
    <w:rsid w:val="00F80272"/>
    <w:rPr>
      <w:sz w:val="20"/>
      <w:szCs w:val="20"/>
    </w:rPr>
  </w:style>
  <w:style w:type="paragraph" w:styleId="a6">
    <w:name w:val="footer"/>
    <w:basedOn w:val="a"/>
    <w:link w:val="a7"/>
    <w:uiPriority w:val="99"/>
    <w:unhideWhenUsed/>
    <w:rsid w:val="00F80272"/>
    <w:pPr>
      <w:tabs>
        <w:tab w:val="center" w:pos="4153"/>
        <w:tab w:val="right" w:pos="8306"/>
      </w:tabs>
      <w:snapToGrid w:val="0"/>
    </w:pPr>
    <w:rPr>
      <w:sz w:val="20"/>
      <w:szCs w:val="20"/>
    </w:rPr>
  </w:style>
  <w:style w:type="character" w:customStyle="1" w:styleId="a7">
    <w:name w:val="頁尾 字元"/>
    <w:basedOn w:val="a0"/>
    <w:link w:val="a6"/>
    <w:uiPriority w:val="99"/>
    <w:rsid w:val="00F80272"/>
    <w:rPr>
      <w:sz w:val="20"/>
      <w:szCs w:val="20"/>
    </w:rPr>
  </w:style>
  <w:style w:type="table" w:styleId="a8">
    <w:name w:val="Table Grid"/>
    <w:basedOn w:val="a1"/>
    <w:uiPriority w:val="59"/>
    <w:rsid w:val="00F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443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4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8748">
      <w:bodyDiv w:val="1"/>
      <w:marLeft w:val="0"/>
      <w:marRight w:val="0"/>
      <w:marTop w:val="0"/>
      <w:marBottom w:val="0"/>
      <w:divBdr>
        <w:top w:val="none" w:sz="0" w:space="0" w:color="auto"/>
        <w:left w:val="none" w:sz="0" w:space="0" w:color="auto"/>
        <w:bottom w:val="none" w:sz="0" w:space="0" w:color="auto"/>
        <w:right w:val="none" w:sz="0" w:space="0" w:color="auto"/>
      </w:divBdr>
    </w:div>
    <w:div w:id="662003921">
      <w:bodyDiv w:val="1"/>
      <w:marLeft w:val="0"/>
      <w:marRight w:val="0"/>
      <w:marTop w:val="0"/>
      <w:marBottom w:val="0"/>
      <w:divBdr>
        <w:top w:val="none" w:sz="0" w:space="0" w:color="auto"/>
        <w:left w:val="none" w:sz="0" w:space="0" w:color="auto"/>
        <w:bottom w:val="none" w:sz="0" w:space="0" w:color="auto"/>
        <w:right w:val="none" w:sz="0" w:space="0" w:color="auto"/>
      </w:divBdr>
    </w:div>
    <w:div w:id="2109694411">
      <w:bodyDiv w:val="1"/>
      <w:marLeft w:val="0"/>
      <w:marRight w:val="0"/>
      <w:marTop w:val="0"/>
      <w:marBottom w:val="0"/>
      <w:divBdr>
        <w:top w:val="none" w:sz="0" w:space="0" w:color="auto"/>
        <w:left w:val="none" w:sz="0" w:space="0" w:color="auto"/>
        <w:bottom w:val="none" w:sz="0" w:space="0" w:color="auto"/>
        <w:right w:val="none" w:sz="0" w:space="0" w:color="auto"/>
      </w:divBdr>
    </w:div>
    <w:div w:id="2122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EBE2-AB61-4A0D-AAEA-2C98F156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dc:creator>
  <cp:lastModifiedBy>實驗動物照護及使用委員會陳石柱</cp:lastModifiedBy>
  <cp:revision>26</cp:revision>
  <cp:lastPrinted>2021-09-27T09:52:00Z</cp:lastPrinted>
  <dcterms:created xsi:type="dcterms:W3CDTF">2021-09-27T09:13:00Z</dcterms:created>
  <dcterms:modified xsi:type="dcterms:W3CDTF">2021-10-06T07:05:00Z</dcterms:modified>
</cp:coreProperties>
</file>